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AFD" w:rsidRPr="000D35D4" w:rsidRDefault="004F7AFD" w:rsidP="004F7AFD">
      <w:pPr>
        <w:tabs>
          <w:tab w:val="left" w:pos="0"/>
        </w:tabs>
        <w:spacing w:after="120"/>
        <w:outlineLvl w:val="3"/>
        <w:rPr>
          <w:rFonts w:eastAsia="Times New Roman" w:cs="Arial"/>
          <w:b/>
          <w:bCs/>
          <w:kern w:val="28"/>
          <w:sz w:val="32"/>
          <w:szCs w:val="32"/>
          <w:lang w:val="en-US" w:eastAsia="nl-NL"/>
        </w:rPr>
      </w:pPr>
      <w:r w:rsidRPr="000D35D4">
        <w:rPr>
          <w:rFonts w:eastAsia="Times New Roman" w:cs="Arial"/>
          <w:b/>
          <w:bCs/>
          <w:kern w:val="28"/>
          <w:sz w:val="32"/>
          <w:szCs w:val="32"/>
          <w:lang w:val="en-US" w:eastAsia="nl-NL"/>
        </w:rPr>
        <w:t>APPENDIX 1: Design of the Algorithm</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A schematic overview of the construction is provided in the figure below.</w:t>
      </w:r>
    </w:p>
    <w:p w:rsidR="004F7AFD" w:rsidRPr="000D35D4" w:rsidRDefault="004F7AFD" w:rsidP="004F7AFD">
      <w:pPr>
        <w:tabs>
          <w:tab w:val="left" w:pos="0"/>
        </w:tabs>
        <w:spacing w:after="0"/>
        <w:jc w:val="both"/>
        <w:rPr>
          <w:rFonts w:eastAsia="Times New Roman" w:cs="Times New Roman"/>
          <w:lang w:val="en-US" w:eastAsia="nl-NL"/>
        </w:rPr>
      </w:pP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noProof/>
          <w:lang w:eastAsia="nl-NL"/>
        </w:rPr>
        <w:drawing>
          <wp:inline distT="0" distB="0" distL="0" distR="0" wp14:anchorId="2CA48535" wp14:editId="3E97193F">
            <wp:extent cx="5663565" cy="2907030"/>
            <wp:effectExtent l="0" t="0" r="0" b="762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63565" cy="2907030"/>
                    </a:xfrm>
                    <a:prstGeom prst="rect">
                      <a:avLst/>
                    </a:prstGeom>
                    <a:noFill/>
                    <a:ln>
                      <a:noFill/>
                    </a:ln>
                  </pic:spPr>
                </pic:pic>
              </a:graphicData>
            </a:graphic>
          </wp:inline>
        </w:drawing>
      </w:r>
    </w:p>
    <w:p w:rsidR="004F7AFD" w:rsidRPr="000D35D4" w:rsidRDefault="004F7AFD" w:rsidP="004F7AFD">
      <w:pPr>
        <w:tabs>
          <w:tab w:val="left" w:pos="0"/>
        </w:tabs>
        <w:spacing w:after="0"/>
        <w:jc w:val="both"/>
        <w:rPr>
          <w:rFonts w:eastAsia="Times New Roman" w:cs="Times New Roman"/>
          <w:b/>
          <w:lang w:val="en-US" w:eastAsia="nl-NL"/>
        </w:rPr>
      </w:pPr>
    </w:p>
    <w:p w:rsidR="004F7AFD" w:rsidRPr="000D35D4" w:rsidRDefault="004F7AFD" w:rsidP="004F7AFD">
      <w:pPr>
        <w:tabs>
          <w:tab w:val="left" w:pos="0"/>
        </w:tabs>
        <w:spacing w:after="0"/>
        <w:jc w:val="both"/>
        <w:rPr>
          <w:rFonts w:eastAsia="Times New Roman" w:cs="Times New Roman"/>
          <w:b/>
          <w:lang w:val="en-US" w:eastAsia="nl-NL"/>
        </w:rPr>
      </w:pPr>
      <w:r w:rsidRPr="000D35D4">
        <w:rPr>
          <w:rFonts w:eastAsia="Times New Roman" w:cs="Times New Roman"/>
          <w:b/>
          <w:lang w:val="en-US" w:eastAsia="nl-NL"/>
        </w:rPr>
        <w:t>Current practice</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 xml:space="preserve">The rationale for this study is underlined by two recent analyses in Dutch data. They also provide the base for the </w:t>
      </w:r>
      <w:r>
        <w:rPr>
          <w:rFonts w:eastAsia="Times New Roman" w:cs="Times New Roman"/>
          <w:lang w:val="en-US" w:eastAsia="nl-NL"/>
        </w:rPr>
        <w:t>design</w:t>
      </w:r>
      <w:r w:rsidRPr="000D35D4">
        <w:rPr>
          <w:rFonts w:eastAsia="Times New Roman" w:cs="Times New Roman"/>
          <w:lang w:val="en-US" w:eastAsia="nl-NL"/>
        </w:rPr>
        <w:t xml:space="preserve"> of the algorithm and will therefore be discussed first. </w:t>
      </w:r>
    </w:p>
    <w:p w:rsidR="004F7AFD" w:rsidRPr="000D35D4" w:rsidRDefault="004F7AFD" w:rsidP="004F7AFD">
      <w:pPr>
        <w:tabs>
          <w:tab w:val="left" w:pos="0"/>
        </w:tabs>
        <w:spacing w:after="0"/>
        <w:jc w:val="both"/>
        <w:rPr>
          <w:rFonts w:eastAsia="Times New Roman" w:cs="Times New Roman"/>
          <w:i/>
          <w:lang w:val="en-US" w:eastAsia="nl-NL"/>
        </w:rPr>
      </w:pPr>
    </w:p>
    <w:p w:rsidR="004F7AFD" w:rsidRPr="000D35D4" w:rsidRDefault="004F7AFD" w:rsidP="004F7AFD">
      <w:pPr>
        <w:tabs>
          <w:tab w:val="left" w:pos="0"/>
        </w:tabs>
        <w:spacing w:after="0"/>
        <w:jc w:val="both"/>
        <w:rPr>
          <w:rFonts w:eastAsia="Times New Roman" w:cs="Times New Roman"/>
          <w:i/>
          <w:lang w:val="en-US" w:eastAsia="nl-NL"/>
        </w:rPr>
      </w:pPr>
      <w:r w:rsidRPr="000D35D4">
        <w:rPr>
          <w:rFonts w:eastAsia="Times New Roman" w:cs="Times New Roman"/>
          <w:i/>
          <w:lang w:val="en-US" w:eastAsia="nl-NL"/>
        </w:rPr>
        <w:t>Failure to rescue study</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 xml:space="preserve">Mortality in patients with major complications (i.e. failure to rescue) was evaluated in over 1300 consecutive patients undergoing </w:t>
      </w:r>
      <w:proofErr w:type="spellStart"/>
      <w:r w:rsidRPr="000D35D4">
        <w:rPr>
          <w:rFonts w:eastAsia="Times New Roman" w:cs="Times New Roman"/>
          <w:lang w:val="en-US" w:eastAsia="nl-NL"/>
        </w:rPr>
        <w:t>pancreatoduodenectomy</w:t>
      </w:r>
      <w:proofErr w:type="spellEnd"/>
      <w:r w:rsidRPr="000D35D4">
        <w:rPr>
          <w:rFonts w:eastAsia="Times New Roman" w:cs="Times New Roman"/>
          <w:lang w:val="en-US" w:eastAsia="nl-NL"/>
        </w:rPr>
        <w:t xml:space="preserve"> in 2014 and 2015. Data were obtained in the mandatory Dutch Pancreatic Cancer Audit. The</w:t>
      </w:r>
      <w:r>
        <w:rPr>
          <w:rFonts w:eastAsia="Times New Roman" w:cs="Times New Roman"/>
          <w:lang w:val="en-US" w:eastAsia="nl-NL"/>
        </w:rPr>
        <w:t xml:space="preserve"> at the time</w:t>
      </w:r>
      <w:r w:rsidRPr="000D35D4">
        <w:rPr>
          <w:rFonts w:eastAsia="Times New Roman" w:cs="Times New Roman"/>
          <w:lang w:val="en-US" w:eastAsia="nl-NL"/>
        </w:rPr>
        <w:t xml:space="preserve"> 18 hospitals performing pancreatic surgery in The Netherlands were divided into quartiles based on in-hospital mortality. Mortality was 0.9% in the first hospital quartile (327 patients in 4 hospitals) and 8.1% in the fourth quartile (310 patients in 5 hospitals). Incidence of major complications (i.e. </w:t>
      </w:r>
      <w:proofErr w:type="spellStart"/>
      <w:r w:rsidRPr="000D35D4">
        <w:rPr>
          <w:rFonts w:eastAsia="Times New Roman" w:cs="Times New Roman"/>
          <w:lang w:val="en-US" w:eastAsia="nl-NL"/>
        </w:rPr>
        <w:t>Clavien-Dindo</w:t>
      </w:r>
      <w:proofErr w:type="spellEnd"/>
      <w:r w:rsidRPr="000D35D4">
        <w:rPr>
          <w:rFonts w:eastAsia="Times New Roman" w:cs="Times New Roman"/>
          <w:lang w:val="en-US" w:eastAsia="nl-NL"/>
        </w:rPr>
        <w:t xml:space="preserve"> grade III and higher) and mortality were compared between these quartiles. Hospitals with a high mortality rate had a slightly </w:t>
      </w:r>
      <w:r>
        <w:rPr>
          <w:rFonts w:eastAsia="Times New Roman" w:cs="Times New Roman"/>
          <w:lang w:val="en-US" w:eastAsia="nl-NL"/>
        </w:rPr>
        <w:t>increased</w:t>
      </w:r>
      <w:r w:rsidRPr="000D35D4">
        <w:rPr>
          <w:rFonts w:eastAsia="Times New Roman" w:cs="Times New Roman"/>
          <w:lang w:val="en-US" w:eastAsia="nl-NL"/>
        </w:rPr>
        <w:t xml:space="preserve"> major complication rate (40% increase), but a much higher failure to rescue rate (560% increase)</w:t>
      </w:r>
      <w:r>
        <w:rPr>
          <w:rFonts w:eastAsia="Times New Roman" w:cs="Times New Roman"/>
          <w:lang w:val="en-US" w:eastAsia="nl-NL"/>
        </w:rPr>
        <w:t>, as</w:t>
      </w:r>
      <w:r w:rsidRPr="000D35D4">
        <w:rPr>
          <w:rFonts w:eastAsia="Times New Roman" w:cs="Times New Roman"/>
          <w:lang w:val="en-US" w:eastAsia="nl-NL"/>
        </w:rPr>
        <w:t xml:space="preserve"> compared </w:t>
      </w:r>
      <w:r>
        <w:rPr>
          <w:rFonts w:eastAsia="Times New Roman" w:cs="Times New Roman"/>
          <w:lang w:val="en-US" w:eastAsia="nl-NL"/>
        </w:rPr>
        <w:t xml:space="preserve">with </w:t>
      </w:r>
      <w:r w:rsidRPr="000D35D4">
        <w:rPr>
          <w:rFonts w:eastAsia="Times New Roman" w:cs="Times New Roman"/>
          <w:lang w:val="en-US" w:eastAsia="nl-NL"/>
        </w:rPr>
        <w:t xml:space="preserve">hospitals with a low mortality rate. </w:t>
      </w:r>
      <w:r>
        <w:rPr>
          <w:rFonts w:eastAsia="Times New Roman" w:cs="Times New Roman"/>
          <w:lang w:val="en-US" w:eastAsia="nl-NL"/>
        </w:rPr>
        <w:t>This strongly suggest that</w:t>
      </w:r>
      <w:r w:rsidRPr="000D35D4">
        <w:rPr>
          <w:rFonts w:eastAsia="Times New Roman" w:cs="Times New Roman"/>
          <w:lang w:val="en-US" w:eastAsia="nl-NL"/>
        </w:rPr>
        <w:t xml:space="preserve"> complication management is the most important factor in </w:t>
      </w:r>
      <w:r>
        <w:rPr>
          <w:rFonts w:eastAsia="Times New Roman" w:cs="Times New Roman"/>
          <w:lang w:val="en-US" w:eastAsia="nl-NL"/>
        </w:rPr>
        <w:t xml:space="preserve">improving clinical outcomes included </w:t>
      </w:r>
      <w:r w:rsidRPr="000D35D4">
        <w:rPr>
          <w:rFonts w:eastAsia="Times New Roman" w:cs="Times New Roman"/>
          <w:lang w:val="en-US" w:eastAsia="nl-NL"/>
        </w:rPr>
        <w:t>lowering postoperative mortality.</w:t>
      </w:r>
    </w:p>
    <w:p w:rsidR="004F7AFD" w:rsidRPr="000D35D4" w:rsidRDefault="004F7AFD" w:rsidP="004F7AFD">
      <w:pPr>
        <w:tabs>
          <w:tab w:val="left" w:pos="0"/>
        </w:tabs>
        <w:spacing w:after="0"/>
        <w:jc w:val="both"/>
        <w:rPr>
          <w:rFonts w:eastAsia="Times New Roman" w:cs="Times New Roman"/>
          <w:i/>
          <w:lang w:val="en-US" w:eastAsia="nl-NL"/>
        </w:rPr>
      </w:pPr>
    </w:p>
    <w:p w:rsidR="004F7AFD" w:rsidRPr="000D35D4" w:rsidRDefault="004F7AFD" w:rsidP="004F7AFD">
      <w:pPr>
        <w:tabs>
          <w:tab w:val="left" w:pos="0"/>
        </w:tabs>
        <w:spacing w:after="0"/>
        <w:jc w:val="both"/>
        <w:rPr>
          <w:rFonts w:eastAsia="Times New Roman" w:cs="Times New Roman"/>
          <w:i/>
          <w:lang w:val="en-US" w:eastAsia="nl-NL"/>
        </w:rPr>
      </w:pPr>
      <w:r w:rsidRPr="000D35D4">
        <w:rPr>
          <w:rFonts w:eastAsia="Times New Roman" w:cs="Times New Roman"/>
          <w:i/>
          <w:lang w:val="en-US" w:eastAsia="nl-NL"/>
        </w:rPr>
        <w:t>Management of postoperative pancreatic fistula</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 xml:space="preserve">Severe pancreatic fistula is defined as leakage of pancreatic enzymes into the abdominal cavity after pancreatic resection requiring invasive intervention. Traditionally this is done by a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during which the abdomen is re-opened, the intra-abdominal cavity is flushed and the leaking pancreatic anastomosis can be handled in different ways. An alternative treatment in the form of image-guided catheter drainage is gaining popularity. The advantage of the percutaneous catheter drainage is the minimally invasive character, as compared </w:t>
      </w:r>
      <w:r>
        <w:rPr>
          <w:rFonts w:eastAsia="Times New Roman" w:cs="Times New Roman"/>
          <w:lang w:val="en-US" w:eastAsia="nl-NL"/>
        </w:rPr>
        <w:t>with</w:t>
      </w:r>
      <w:r w:rsidRPr="000D35D4">
        <w:rPr>
          <w:rFonts w:eastAsia="Times New Roman" w:cs="Times New Roman"/>
          <w:lang w:val="en-US" w:eastAsia="nl-NL"/>
        </w:rPr>
        <w:t xml:space="preserve">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This means the already critically ill patient does not have to suffer from pro-inflammatory stress induced by a major </w:t>
      </w:r>
      <w:r w:rsidRPr="000D35D4">
        <w:rPr>
          <w:rFonts w:eastAsia="Times New Roman" w:cs="Times New Roman"/>
          <w:lang w:val="en-US" w:eastAsia="nl-NL"/>
        </w:rPr>
        <w:lastRenderedPageBreak/>
        <w:t xml:space="preserve">reoperation. This management strategy could thereby lead to a reduction in in multiple organ failure typically seen in these patients. </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ab/>
        <w:t xml:space="preserve">We performed a retrospective, propensity-score matched cohort study in 9 centers of the Dutch Pancreatic Cancer Group to investigate the superiority of catheter drainage over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Propensity score matching was used to limit the effect of </w:t>
      </w:r>
      <w:r>
        <w:rPr>
          <w:rFonts w:eastAsia="Times New Roman" w:cs="Times New Roman"/>
          <w:lang w:val="en-US" w:eastAsia="nl-NL"/>
        </w:rPr>
        <w:t>confounding by indication</w:t>
      </w:r>
      <w:r w:rsidRPr="000D35D4">
        <w:rPr>
          <w:rFonts w:eastAsia="Times New Roman" w:cs="Times New Roman"/>
          <w:lang w:val="en-US" w:eastAsia="nl-NL"/>
        </w:rPr>
        <w:t xml:space="preserve">. The primary endpoint was death, secondary endpoints included new-onset organ failure. </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ab/>
        <w:t xml:space="preserve">From a cohort of 2196 consecutive </w:t>
      </w:r>
      <w:proofErr w:type="spellStart"/>
      <w:r w:rsidRPr="000D35D4">
        <w:rPr>
          <w:rFonts w:eastAsia="Times New Roman" w:cs="Times New Roman"/>
          <w:lang w:val="en-US" w:eastAsia="nl-NL"/>
        </w:rPr>
        <w:t>pancreatoduodenectomies</w:t>
      </w:r>
      <w:proofErr w:type="spellEnd"/>
      <w:r w:rsidRPr="000D35D4">
        <w:rPr>
          <w:rFonts w:eastAsia="Times New Roman" w:cs="Times New Roman"/>
          <w:lang w:val="en-US" w:eastAsia="nl-NL"/>
        </w:rPr>
        <w:t xml:space="preserve">, 309 patients with severe pancreatic fistula were included. Overall in-hospital mortality was 18% (55/309 patients). Overall, 227 patients (73%) underwent primary catheter drainage and 82 patients (27%) underwent primary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Primary catheter drainage was successful (i.e. survival without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in 77% of patients. With propensity-score matching, 64 patients undergoing primary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were matched to 64 patients undergoing primary catheter drainage. Mortality was lower after catheter drainage (14% vs. 36%; P=0.007; risk ratio 0.39; 95% confidence interval 0.20-0.75). The rate of new-onset single-organ failure (3% vs. 20%; P=0.007; risk ratio 0.15; 95% confidence interval 0.03-0.60), and new-onset multiple-organ failure (16% vs. 39%; P=0.008; risk ratio 0.40; 95% confidence interval 0.20-0.77) were also lower after primary catheter drainage. Comparison of management strategies between the participating centers showed a range of 12% to 67% of patients undergoing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as primary intervention for pancreatic fistula.</w:t>
      </w:r>
    </w:p>
    <w:p w:rsidR="004F7AFD" w:rsidRPr="000D35D4" w:rsidRDefault="004F7AFD" w:rsidP="004F7AFD">
      <w:pPr>
        <w:tabs>
          <w:tab w:val="left" w:pos="0"/>
        </w:tabs>
        <w:spacing w:after="0"/>
        <w:jc w:val="both"/>
        <w:rPr>
          <w:rFonts w:eastAsia="Times New Roman" w:cs="Times New Roman"/>
          <w:lang w:val="en-US" w:eastAsia="nl-NL"/>
        </w:rPr>
      </w:pPr>
      <w:r>
        <w:rPr>
          <w:rFonts w:eastAsia="Times New Roman" w:cs="Times New Roman"/>
          <w:lang w:val="en-US" w:eastAsia="nl-NL"/>
        </w:rPr>
        <w:tab/>
        <w:t>In conclusion, this propensity-</w:t>
      </w:r>
      <w:r w:rsidRPr="000D35D4">
        <w:rPr>
          <w:rFonts w:eastAsia="Times New Roman" w:cs="Times New Roman"/>
          <w:lang w:val="en-US" w:eastAsia="nl-NL"/>
        </w:rPr>
        <w:t xml:space="preserve">matched study showed primary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xml:space="preserve"> is associated with twofold higher mortality</w:t>
      </w:r>
      <w:r>
        <w:rPr>
          <w:rFonts w:eastAsia="Times New Roman" w:cs="Times New Roman"/>
          <w:lang w:val="en-US" w:eastAsia="nl-NL"/>
        </w:rPr>
        <w:t>,</w:t>
      </w:r>
      <w:r w:rsidRPr="000D35D4">
        <w:rPr>
          <w:rFonts w:eastAsia="Times New Roman" w:cs="Times New Roman"/>
          <w:lang w:val="en-US" w:eastAsia="nl-NL"/>
        </w:rPr>
        <w:t xml:space="preserve"> as compared </w:t>
      </w:r>
      <w:r>
        <w:rPr>
          <w:rFonts w:eastAsia="Times New Roman" w:cs="Times New Roman"/>
          <w:lang w:val="en-US" w:eastAsia="nl-NL"/>
        </w:rPr>
        <w:t>with</w:t>
      </w:r>
      <w:r w:rsidRPr="000D35D4">
        <w:rPr>
          <w:rFonts w:eastAsia="Times New Roman" w:cs="Times New Roman"/>
          <w:lang w:val="en-US" w:eastAsia="nl-NL"/>
        </w:rPr>
        <w:t xml:space="preserve"> primary catheter drainage as first intervention for pancreatic fistula. This study showed as well that uniformity in the management of pancreatic fistula is currently lacking between the different centers in the Netherlands. Many centers still perform primary </w:t>
      </w:r>
      <w:proofErr w:type="spellStart"/>
      <w:r w:rsidRPr="000D35D4">
        <w:rPr>
          <w:rFonts w:eastAsia="Times New Roman" w:cs="Times New Roman"/>
          <w:lang w:val="en-US" w:eastAsia="nl-NL"/>
        </w:rPr>
        <w:t>relaparotomy</w:t>
      </w:r>
      <w:proofErr w:type="spellEnd"/>
      <w:r w:rsidRPr="000D35D4">
        <w:rPr>
          <w:rFonts w:eastAsia="Times New Roman" w:cs="Times New Roman"/>
          <w:lang w:val="en-US" w:eastAsia="nl-NL"/>
        </w:rPr>
        <w:t>, which was clearly found to be associated with higher rates of multiple-organ failure and death, as compared to minimally invasive catheter drainage.</w:t>
      </w:r>
    </w:p>
    <w:p w:rsidR="004F7AFD" w:rsidRPr="000D35D4" w:rsidRDefault="004F7AFD" w:rsidP="004F7AFD">
      <w:pPr>
        <w:tabs>
          <w:tab w:val="left" w:pos="0"/>
        </w:tabs>
        <w:spacing w:after="0"/>
        <w:jc w:val="both"/>
        <w:rPr>
          <w:rFonts w:eastAsia="Times New Roman" w:cs="Times New Roman"/>
          <w:lang w:val="en-US" w:eastAsia="nl-NL"/>
        </w:rPr>
      </w:pPr>
    </w:p>
    <w:p w:rsidR="004F7AFD" w:rsidRPr="000D35D4" w:rsidRDefault="004F7AFD" w:rsidP="004F7AFD">
      <w:pPr>
        <w:tabs>
          <w:tab w:val="left" w:pos="0"/>
        </w:tabs>
        <w:spacing w:after="0"/>
        <w:jc w:val="both"/>
        <w:rPr>
          <w:rFonts w:eastAsia="Times New Roman" w:cs="Times New Roman"/>
          <w:b/>
          <w:lang w:val="en-US" w:eastAsia="nl-NL"/>
        </w:rPr>
      </w:pPr>
      <w:r w:rsidRPr="000D35D4">
        <w:rPr>
          <w:rFonts w:eastAsia="Times New Roman" w:cs="Times New Roman"/>
          <w:b/>
          <w:lang w:val="en-US" w:eastAsia="nl-NL"/>
        </w:rPr>
        <w:t>Guideline inventory</w:t>
      </w:r>
      <w:r w:rsidRPr="000D35D4">
        <w:rPr>
          <w:rFonts w:eastAsia="Times New Roman" w:cs="Times New Roman"/>
          <w:b/>
          <w:lang w:val="en-US" w:eastAsia="nl-NL"/>
        </w:rPr>
        <w:tab/>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 xml:space="preserve">To objectivity the current level of standardization in care after pancreatic resection, an inventory in local guidelines was performed. This inventory showed a considerable number of centers reported regular measurement of vital parameters, CRP and WBC, but only one center reported standardized evaluation of these measurements (i.e. use of predefined cut-offs; shown as gray dots in table 1). </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ab/>
        <w:t>In conclusion, none of the 12 evaluated guidelines clearly stated how to manage postoperative pancreatic fistula. Outcomes of this inventory are presented in the table below.</w:t>
      </w:r>
    </w:p>
    <w:p w:rsidR="004F7AFD" w:rsidRPr="000D35D4" w:rsidRDefault="004F7AFD" w:rsidP="004F7AFD">
      <w:pPr>
        <w:tabs>
          <w:tab w:val="left" w:pos="284"/>
          <w:tab w:val="left" w:pos="1701"/>
        </w:tabs>
        <w:spacing w:after="0"/>
        <w:rPr>
          <w:rFonts w:eastAsia="Times New Roman" w:cs="Times New Roman"/>
          <w:lang w:val="en-GB" w:eastAsia="nl-NL"/>
        </w:rPr>
      </w:pPr>
      <w:r w:rsidRPr="000D35D4">
        <w:rPr>
          <w:rFonts w:eastAsia="Times New Roman" w:cs="Times New Roman"/>
          <w:lang w:val="en-GB" w:eastAsia="nl-NL"/>
        </w:rPr>
        <w:br w:type="column"/>
      </w:r>
    </w:p>
    <w:tbl>
      <w:tblPr>
        <w:tblW w:w="4962" w:type="pct"/>
        <w:tblLayout w:type="fixed"/>
        <w:tblCellMar>
          <w:left w:w="70" w:type="dxa"/>
          <w:right w:w="70" w:type="dxa"/>
        </w:tblCellMar>
        <w:tblLook w:val="04A0" w:firstRow="1" w:lastRow="0" w:firstColumn="1" w:lastColumn="0" w:noHBand="0" w:noVBand="1"/>
      </w:tblPr>
      <w:tblGrid>
        <w:gridCol w:w="1058"/>
        <w:gridCol w:w="897"/>
        <w:gridCol w:w="898"/>
        <w:gridCol w:w="898"/>
        <w:gridCol w:w="898"/>
        <w:gridCol w:w="898"/>
        <w:gridCol w:w="898"/>
        <w:gridCol w:w="898"/>
        <w:gridCol w:w="898"/>
        <w:gridCol w:w="901"/>
      </w:tblGrid>
      <w:tr w:rsidR="004F7AFD" w:rsidRPr="000D35D4" w:rsidTr="004F7AFD">
        <w:trPr>
          <w:cantSplit/>
          <w:trHeight w:val="146"/>
        </w:trPr>
        <w:tc>
          <w:tcPr>
            <w:tcW w:w="5000" w:type="pct"/>
            <w:gridSpan w:val="10"/>
            <w:tcBorders>
              <w:bottom w:val="single" w:sz="4" w:space="0" w:color="auto"/>
            </w:tcBorders>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Table 1: inventory local guidelines</w:t>
            </w:r>
          </w:p>
        </w:tc>
      </w:tr>
      <w:tr w:rsidR="004F7AFD" w:rsidRPr="000D35D4" w:rsidTr="004F7AFD">
        <w:trPr>
          <w:trHeight w:val="2089"/>
        </w:trPr>
        <w:tc>
          <w:tcPr>
            <w:tcW w:w="579" w:type="pct"/>
            <w:tcBorders>
              <w:top w:val="single" w:sz="4" w:space="0" w:color="auto"/>
            </w:tcBorders>
            <w:vAlign w:val="bottom"/>
            <w:hideMark/>
          </w:tcPr>
          <w:p w:rsidR="004F7AFD" w:rsidRPr="000D35D4" w:rsidRDefault="004F7AFD" w:rsidP="004F7AFD">
            <w:pPr>
              <w:tabs>
                <w:tab w:val="left" w:pos="0"/>
              </w:tabs>
              <w:spacing w:after="0"/>
              <w:jc w:val="center"/>
              <w:rPr>
                <w:rFonts w:eastAsia="Times New Roman" w:cs="Times New Roman"/>
                <w:b/>
                <w:bCs/>
                <w:color w:val="000000"/>
                <w:lang w:val="en-US" w:eastAsia="nl-NL"/>
              </w:rPr>
            </w:pPr>
            <w:r w:rsidRPr="000D35D4">
              <w:rPr>
                <w:rFonts w:eastAsia="Times New Roman" w:cs="Times New Roman"/>
                <w:b/>
                <w:bCs/>
                <w:color w:val="000000"/>
                <w:lang w:val="en-US" w:eastAsia="nl-NL"/>
              </w:rPr>
              <w:t>CENTER</w:t>
            </w:r>
          </w:p>
        </w:tc>
        <w:tc>
          <w:tcPr>
            <w:tcW w:w="491"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Vital parameters</w:t>
            </w:r>
          </w:p>
        </w:tc>
        <w:tc>
          <w:tcPr>
            <w:tcW w:w="491"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CRP</w:t>
            </w:r>
          </w:p>
        </w:tc>
        <w:tc>
          <w:tcPr>
            <w:tcW w:w="491"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WBC</w:t>
            </w:r>
          </w:p>
        </w:tc>
        <w:tc>
          <w:tcPr>
            <w:tcW w:w="491" w:type="pct"/>
            <w:tcBorders>
              <w:top w:val="single" w:sz="4" w:space="0" w:color="auto"/>
            </w:tcBorders>
            <w:textDirection w:val="btLr"/>
            <w:vAlign w:val="center"/>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 xml:space="preserve">Consult </w:t>
            </w:r>
          </w:p>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Pancreatic Surgeon</w:t>
            </w:r>
          </w:p>
        </w:tc>
        <w:tc>
          <w:tcPr>
            <w:tcW w:w="491" w:type="pct"/>
            <w:tcBorders>
              <w:top w:val="single" w:sz="4" w:space="0" w:color="auto"/>
            </w:tcBorders>
            <w:textDirection w:val="btLr"/>
            <w:vAlign w:val="center"/>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 xml:space="preserve">Predefined Indication </w:t>
            </w:r>
          </w:p>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CT Scan</w:t>
            </w:r>
          </w:p>
        </w:tc>
        <w:tc>
          <w:tcPr>
            <w:tcW w:w="491"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Predefined Indication Invasive Intervention</w:t>
            </w:r>
          </w:p>
        </w:tc>
        <w:tc>
          <w:tcPr>
            <w:tcW w:w="491"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 xml:space="preserve">Management </w:t>
            </w:r>
          </w:p>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Pancreatic Fistula</w:t>
            </w:r>
          </w:p>
        </w:tc>
        <w:tc>
          <w:tcPr>
            <w:tcW w:w="491" w:type="pct"/>
            <w:tcBorders>
              <w:top w:val="single" w:sz="4" w:space="0" w:color="auto"/>
            </w:tcBorders>
            <w:textDirection w:val="btLr"/>
            <w:vAlign w:val="center"/>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 xml:space="preserve">Drain Amylase </w:t>
            </w:r>
          </w:p>
        </w:tc>
        <w:tc>
          <w:tcPr>
            <w:tcW w:w="493" w:type="pct"/>
            <w:tcBorders>
              <w:top w:val="single" w:sz="4" w:space="0" w:color="auto"/>
            </w:tcBorders>
            <w:textDirection w:val="btLr"/>
            <w:vAlign w:val="center"/>
            <w:hideMark/>
          </w:tcPr>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 xml:space="preserve">Removal Of </w:t>
            </w:r>
          </w:p>
          <w:p w:rsidR="004F7AFD" w:rsidRPr="000D35D4" w:rsidRDefault="004F7AFD" w:rsidP="004F7AFD">
            <w:pPr>
              <w:tabs>
                <w:tab w:val="left" w:pos="0"/>
              </w:tabs>
              <w:spacing w:after="0"/>
              <w:rPr>
                <w:rFonts w:eastAsia="Times New Roman" w:cs="Times New Roman"/>
                <w:b/>
                <w:bCs/>
                <w:color w:val="000000"/>
                <w:lang w:val="en-US" w:eastAsia="nl-NL"/>
              </w:rPr>
            </w:pPr>
            <w:r w:rsidRPr="000D35D4">
              <w:rPr>
                <w:rFonts w:eastAsia="Times New Roman" w:cs="Times New Roman"/>
                <w:b/>
                <w:bCs/>
                <w:color w:val="000000"/>
                <w:lang w:val="en-US" w:eastAsia="nl-NL"/>
              </w:rPr>
              <w:t>Abdominal Drain</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1</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2</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3</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4</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5</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Pr>
          <w:p w:rsidR="004F7AFD" w:rsidRPr="000D35D4" w:rsidRDefault="004F7AFD" w:rsidP="004F7AFD">
            <w:pPr>
              <w:tabs>
                <w:tab w:val="left" w:pos="0"/>
              </w:tabs>
              <w:spacing w:after="0"/>
              <w:jc w:val="center"/>
              <w:rPr>
                <w:rFonts w:eastAsia="Times New Roman" w:cs="Arial"/>
                <w:color w:val="D9D9D9" w:themeColor="background1" w:themeShade="D9"/>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color w:val="D9D9D9" w:themeColor="background1" w:themeShade="D9"/>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6</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7</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8</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9</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10</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11</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0D35D4" w:rsidTr="004F7AFD">
        <w:trPr>
          <w:trHeight w:val="227"/>
        </w:trPr>
        <w:tc>
          <w:tcPr>
            <w:tcW w:w="579" w:type="pct"/>
            <w:tcBorders>
              <w:bottom w:val="single" w:sz="4" w:space="0" w:color="auto"/>
            </w:tcBorders>
            <w:noWrap/>
            <w:vAlign w:val="bottom"/>
            <w:hideMark/>
          </w:tcPr>
          <w:p w:rsidR="004F7AFD" w:rsidRPr="000D35D4" w:rsidRDefault="004F7AFD" w:rsidP="004F7AFD">
            <w:pPr>
              <w:tabs>
                <w:tab w:val="left" w:pos="0"/>
              </w:tabs>
              <w:spacing w:after="0"/>
              <w:jc w:val="center"/>
              <w:rPr>
                <w:rFonts w:eastAsia="Times New Roman" w:cs="Times New Roman"/>
                <w:b/>
                <w:bCs/>
                <w:lang w:val="en-US" w:eastAsia="nl-NL"/>
              </w:rPr>
            </w:pPr>
            <w:r w:rsidRPr="000D35D4">
              <w:rPr>
                <w:rFonts w:eastAsia="Times New Roman" w:cs="Times New Roman"/>
                <w:b/>
                <w:bCs/>
                <w:lang w:val="en-US" w:eastAsia="nl-NL"/>
              </w:rPr>
              <w:t>12</w:t>
            </w:r>
          </w:p>
        </w:tc>
        <w:tc>
          <w:tcPr>
            <w:tcW w:w="491" w:type="pct"/>
            <w:tcBorders>
              <w:bottom w:val="single" w:sz="4" w:space="0" w:color="auto"/>
            </w:tcBorders>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Borders>
              <w:bottom w:val="single" w:sz="4" w:space="0" w:color="auto"/>
            </w:tcBorders>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Borders>
              <w:bottom w:val="single" w:sz="4" w:space="0" w:color="auto"/>
            </w:tcBorders>
            <w:noWrap/>
            <w:hideMark/>
          </w:tcPr>
          <w:p w:rsidR="004F7AFD" w:rsidRPr="000D35D4" w:rsidRDefault="004F7AFD" w:rsidP="004F7AFD">
            <w:pPr>
              <w:tabs>
                <w:tab w:val="left" w:pos="0"/>
              </w:tabs>
              <w:spacing w:after="0"/>
              <w:jc w:val="center"/>
              <w:rPr>
                <w:rFonts w:eastAsia="Times New Roman" w:cs="Times New Roman"/>
                <w:color w:val="BFBFBF" w:themeColor="background1" w:themeShade="BF"/>
                <w:lang w:val="en-US" w:eastAsia="nl-NL"/>
              </w:rPr>
            </w:pPr>
            <w:r w:rsidRPr="000D35D4">
              <w:rPr>
                <w:rFonts w:eastAsia="Times New Roman" w:cs="Arial"/>
                <w:color w:val="BFBFBF" w:themeColor="background1" w:themeShade="BF"/>
                <w:lang w:val="en-US" w:eastAsia="nl-NL"/>
              </w:rPr>
              <w:t>●</w:t>
            </w:r>
          </w:p>
        </w:tc>
        <w:tc>
          <w:tcPr>
            <w:tcW w:w="491" w:type="pct"/>
            <w:tcBorders>
              <w:bottom w:val="single" w:sz="4" w:space="0" w:color="auto"/>
            </w:tcBorders>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Borders>
              <w:bottom w:val="single" w:sz="4" w:space="0" w:color="auto"/>
            </w:tcBorders>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1" w:type="pct"/>
            <w:tcBorders>
              <w:bottom w:val="single" w:sz="4" w:space="0" w:color="auto"/>
            </w:tcBorders>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Borders>
              <w:bottom w:val="single" w:sz="4" w:space="0" w:color="auto"/>
            </w:tcBorders>
            <w:noWrap/>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c>
          <w:tcPr>
            <w:tcW w:w="491" w:type="pct"/>
            <w:tcBorders>
              <w:bottom w:val="single" w:sz="4" w:space="0" w:color="auto"/>
            </w:tcBorders>
            <w:vAlign w:val="bottom"/>
          </w:tcPr>
          <w:p w:rsidR="004F7AFD" w:rsidRPr="000D35D4" w:rsidRDefault="004F7AFD" w:rsidP="004F7AFD">
            <w:pPr>
              <w:tabs>
                <w:tab w:val="left" w:pos="0"/>
              </w:tabs>
              <w:spacing w:after="0"/>
              <w:jc w:val="center"/>
              <w:rPr>
                <w:rFonts w:eastAsia="Times New Roman" w:cs="Arial"/>
                <w:lang w:val="en-US" w:eastAsia="nl-NL"/>
              </w:rPr>
            </w:pPr>
            <w:r w:rsidRPr="000D35D4">
              <w:rPr>
                <w:rFonts w:eastAsia="Times New Roman" w:cs="Arial"/>
                <w:lang w:val="en-US" w:eastAsia="nl-NL"/>
              </w:rPr>
              <w:t>●</w:t>
            </w:r>
          </w:p>
        </w:tc>
        <w:tc>
          <w:tcPr>
            <w:tcW w:w="493" w:type="pct"/>
            <w:tcBorders>
              <w:bottom w:val="single" w:sz="4" w:space="0" w:color="auto"/>
            </w:tcBorders>
            <w:noWrap/>
            <w:vAlign w:val="bottom"/>
            <w:hideMark/>
          </w:tcPr>
          <w:p w:rsidR="004F7AFD" w:rsidRPr="000D35D4" w:rsidRDefault="004F7AFD" w:rsidP="004F7AFD">
            <w:pPr>
              <w:tabs>
                <w:tab w:val="left" w:pos="0"/>
              </w:tabs>
              <w:spacing w:after="0"/>
              <w:jc w:val="center"/>
              <w:rPr>
                <w:rFonts w:eastAsia="Times New Roman" w:cs="Times New Roman"/>
                <w:lang w:val="en-US" w:eastAsia="nl-NL"/>
              </w:rPr>
            </w:pPr>
            <w:r w:rsidRPr="000D35D4">
              <w:rPr>
                <w:rFonts w:eastAsia="Times New Roman" w:cs="Arial"/>
                <w:lang w:val="en-US" w:eastAsia="nl-NL"/>
              </w:rPr>
              <w:t>●</w:t>
            </w:r>
          </w:p>
        </w:tc>
      </w:tr>
      <w:tr w:rsidR="004F7AFD" w:rsidRPr="007F78C3" w:rsidTr="004F7AFD">
        <w:trPr>
          <w:trHeight w:val="227"/>
        </w:trPr>
        <w:tc>
          <w:tcPr>
            <w:tcW w:w="5000" w:type="pct"/>
            <w:gridSpan w:val="10"/>
            <w:tcBorders>
              <w:top w:val="single" w:sz="4" w:space="0" w:color="auto"/>
              <w:bottom w:val="single" w:sz="4" w:space="0" w:color="auto"/>
            </w:tcBorders>
          </w:tcPr>
          <w:p w:rsidR="004F7AFD" w:rsidRPr="000D35D4" w:rsidRDefault="004F7AFD" w:rsidP="004F7AFD">
            <w:pPr>
              <w:tabs>
                <w:tab w:val="left" w:pos="0"/>
              </w:tabs>
              <w:spacing w:after="0"/>
              <w:rPr>
                <w:rFonts w:eastAsia="Times New Roman" w:cs="Times New Roman"/>
                <w:i/>
                <w:sz w:val="18"/>
                <w:lang w:val="en-US" w:eastAsia="nl-NL"/>
              </w:rPr>
            </w:pPr>
            <w:r w:rsidRPr="000D35D4">
              <w:rPr>
                <w:rFonts w:eastAsia="Times New Roman" w:cs="Times New Roman"/>
                <w:i/>
                <w:sz w:val="18"/>
                <w:lang w:val="en-US" w:eastAsia="nl-NL"/>
              </w:rPr>
              <w:t xml:space="preserve">Table on inventory of local guidelines in 12 centers of the DPCG; </w:t>
            </w:r>
            <w:r w:rsidRPr="000D35D4">
              <w:rPr>
                <w:rFonts w:eastAsia="Times New Roman" w:cs="Arial"/>
                <w:lang w:val="en-US" w:eastAsia="nl-NL"/>
              </w:rPr>
              <w:t>●</w:t>
            </w:r>
            <w:r w:rsidRPr="000D35D4">
              <w:rPr>
                <w:rFonts w:eastAsia="Times New Roman" w:cs="Times New Roman"/>
                <w:i/>
                <w:sz w:val="18"/>
                <w:lang w:val="en-US" w:eastAsia="nl-NL"/>
              </w:rPr>
              <w:t xml:space="preserve">, variable well defined in local protocol; </w:t>
            </w:r>
            <w:r w:rsidRPr="000D35D4">
              <w:rPr>
                <w:rFonts w:eastAsia="Times New Roman" w:cs="Arial"/>
                <w:color w:val="D9D9D9" w:themeColor="background1" w:themeShade="D9"/>
                <w:lang w:val="en-US" w:eastAsia="nl-NL"/>
              </w:rPr>
              <w:t>●</w:t>
            </w:r>
            <w:r w:rsidRPr="000D35D4">
              <w:rPr>
                <w:rFonts w:eastAsia="Times New Roman" w:cs="Times New Roman"/>
                <w:i/>
                <w:sz w:val="18"/>
                <w:lang w:val="en-US" w:eastAsia="nl-NL"/>
              </w:rPr>
              <w:t xml:space="preserve">, measurement of variable defined in local protocol, but no specification on evaluation; </w:t>
            </w:r>
            <w:r w:rsidRPr="000D35D4">
              <w:rPr>
                <w:rFonts w:eastAsia="Times New Roman" w:cs="Arial"/>
                <w:lang w:val="en-US" w:eastAsia="nl-NL"/>
              </w:rPr>
              <w:t>○</w:t>
            </w:r>
            <w:r w:rsidRPr="000D35D4">
              <w:rPr>
                <w:rFonts w:eastAsia="Times New Roman" w:cs="Times New Roman"/>
                <w:i/>
                <w:sz w:val="18"/>
                <w:lang w:val="en-US" w:eastAsia="nl-NL"/>
              </w:rPr>
              <w:t>, variable not defined in local protocol. Abbreviations: CRP, C-reactive protein; WBC, white blood count; CT, Computed Tomography</w:t>
            </w:r>
          </w:p>
        </w:tc>
      </w:tr>
    </w:tbl>
    <w:p w:rsidR="004F7AFD" w:rsidRPr="000D35D4" w:rsidRDefault="004F7AFD" w:rsidP="004F7AFD">
      <w:pPr>
        <w:tabs>
          <w:tab w:val="left" w:pos="0"/>
        </w:tabs>
        <w:spacing w:after="0"/>
        <w:jc w:val="both"/>
        <w:rPr>
          <w:rFonts w:eastAsia="Times New Roman" w:cs="Times New Roman"/>
          <w:b/>
          <w:lang w:val="en-US" w:eastAsia="nl-NL"/>
        </w:rPr>
      </w:pPr>
    </w:p>
    <w:p w:rsidR="004F7AFD" w:rsidRPr="000D35D4" w:rsidRDefault="004F7AFD" w:rsidP="004F7AFD">
      <w:pPr>
        <w:tabs>
          <w:tab w:val="left" w:pos="0"/>
        </w:tabs>
        <w:spacing w:after="0"/>
        <w:jc w:val="both"/>
        <w:rPr>
          <w:rFonts w:eastAsia="Times New Roman" w:cs="Times New Roman"/>
          <w:b/>
          <w:lang w:val="en-US" w:eastAsia="nl-NL"/>
        </w:rPr>
      </w:pPr>
      <w:r w:rsidRPr="000D35D4">
        <w:rPr>
          <w:rFonts w:eastAsia="Times New Roman" w:cs="Times New Roman"/>
          <w:b/>
          <w:lang w:val="en-US" w:eastAsia="nl-NL"/>
        </w:rPr>
        <w:t>Systematic literature analysis</w:t>
      </w:r>
    </w:p>
    <w:p w:rsidR="004F7AFD" w:rsidRPr="000D35D4" w:rsidRDefault="004F7AFD" w:rsidP="004F7AFD">
      <w:pPr>
        <w:tabs>
          <w:tab w:val="left" w:pos="0"/>
        </w:tabs>
        <w:spacing w:after="0"/>
        <w:jc w:val="both"/>
        <w:rPr>
          <w:rFonts w:eastAsia="Times New Roman" w:cs="Times New Roman"/>
          <w:lang w:val="en-US" w:eastAsia="nl-NL"/>
        </w:rPr>
      </w:pPr>
      <w:r w:rsidRPr="000D35D4">
        <w:rPr>
          <w:rFonts w:eastAsia="Times New Roman" w:cs="Times New Roman"/>
          <w:lang w:val="en-US" w:eastAsia="nl-NL"/>
        </w:rPr>
        <w:t xml:space="preserve">As described above, the major challenge to improve outcome of patients undergoing pancreatic resection is to treat pancreatic fistula before it leads to severe clinical deterioration with systemic complications. This means diagnostic modalities should be identified that have high accuracy in detecting pancreatic fistula at an early stage. To this end, we have performed extensive literature analysis </w:t>
      </w:r>
      <w:r w:rsidRPr="000D35D4">
        <w:rPr>
          <w:rFonts w:eastAsia="Times New Roman" w:cs="Times New Roman"/>
          <w:lang w:val="en-GB" w:eastAsia="nl-NL"/>
        </w:rPr>
        <w:t>to evaluate the accuracy of physical examination parameters, biochemical test and imaging modalities for diagnosing severe postoperative pancreatic fistula</w:t>
      </w:r>
      <w:r w:rsidRPr="000D35D4">
        <w:rPr>
          <w:rFonts w:eastAsia="Times New Roman" w:cs="Times New Roman"/>
          <w:lang w:val="en-US" w:eastAsia="nl-NL"/>
        </w:rPr>
        <w:t xml:space="preserve">. Results of this analysis </w:t>
      </w:r>
      <w:r>
        <w:rPr>
          <w:rFonts w:eastAsia="Times New Roman" w:cs="Times New Roman"/>
          <w:lang w:val="en-US" w:eastAsia="nl-NL"/>
        </w:rPr>
        <w:t>have been published recently</w:t>
      </w:r>
      <w:r w:rsidRPr="000D35D4">
        <w:rPr>
          <w:rFonts w:eastAsia="Times New Roman" w:cs="Times New Roman"/>
          <w:lang w:val="en-US" w:eastAsia="nl-NL"/>
        </w:rPr>
        <w:fldChar w:fldCharType="begin" w:fldLock="1"/>
      </w:r>
      <w:r w:rsidR="00625C5F">
        <w:rPr>
          <w:rFonts w:eastAsia="Times New Roman" w:cs="Times New Roman"/>
          <w:lang w:val="en-US" w:eastAsia="nl-NL"/>
        </w:rPr>
        <w:instrText>ADDIN CSL_CITATION { "citationItems" : [ { "id" : "ITEM-1", "itemData" : { "DOI" : "10.1016/j.hpb.2019.07.005", "PMID" : "31445782", "abstract" : "BACKGROUND Early recognition of postoperative pancreatic fistula might decrease the risk of subsequent life threatening complications. The aim of this review was to systematically evaluate the accuracy of postoperative clinical, biochemical and radiologic variables for early recognition of clinically relevant postoperative pancreatic fistula. METHODS A systematic literature search was performed up to August 2018. Clinical studies reporting on the association between postoperative variables and clinically relevant postoperative pancreatic fistula were included. Variables were stratified: early prediction (postoperative day 1-2) versus early diagnosis (day 3) and had to be reported in 2 cohorts. RESULTS Overall, 37 included studies reported on 17 different diagnostic variables after 8701 pancreatic resections. Clinically relevant postoperative pancreatic fistula occurred in 1532/8701 patients (18%). Early prediction variables included elevated serum and drain amylase (day 1). Identified variables for early diagnosis were: non-serous drain efflux (day 3); positive drain culture (day 3); elevated temperature (any day); elevated C-Reactive Protein (CRP; day 4); elevated white blood cell count (day 4) and peripancreatic collections on computed tomography (CT; day 5-10). CONCLUSION This review provides a comprehensive overview of postoperative variables associated with clinically relevant pancreatic fistula. Incorporation of variables in future algorithms could potentially mitigate the clinical impact of postoperative pancreatic fistula.", "author" : [ { "dropping-particle" : "", "family" : "Smits", "given" : "F Jasmijn", "non-dropping-particle" : "", "parse-names" : false, "suffix" : "" }, { "dropping-particle" : "", "family" : "Molenaar", "given" : "I Quintus", "non-dropping-particle" : "", "parse-names" : false, "suffix" : "" }, { "dropping-particle" : "", "family" : "Besselink", "given" : "Marc G", "non-dropping-particle" : "", "parse-names" : false, "suffix" : "" }, { "dropping-particle" : "", "family" : "Borel Rinkes", "given" : "Inne H M", "non-dropping-particle" : "", "parse-names" : false, "suffix" : "" }, { "dropping-particle" : "", "family" : "Eijck", "given" : "Casper H J", "non-dropping-particle" : "van", "parse-names" : false, "suffix" : "" }, { "dropping-particle" : "", "family" : "Busch", "given" : "Olivier R", "non-dropping-particle" : "", "parse-names" : false, "suffix" : "" }, { "dropping-particle" : "", "family" : "Santvoort", "given" : "Hjalmar C", "non-dropping-particle" : "van", "parse-names" : false, "suffix" : "" }, { "dropping-particle" : "", "family" : "Dutch Pancreatic Cancer Group", "given" : "", "non-dropping-particle" : "", "parse-names" : false, "suffix" : "" } ], "container-title" : "HPB : the official journal of the International Hepato Pancreato Biliary Association", "id" : "ITEM-1", "issue" : "0", "issued" : { "date-parts" : [ [ "2019", "8", "21" ] ] }, "publisher" : "Elsevier", "title" : "Early recognition of clinically relevant postoperative pancreatic fistula: a systematic review.", "type" : "article-journal", "volume" : "0" }, "uris" : [ "http://www.mendeley.com/documents/?uuid=14c9dcf5-4dd9-38fc-aadb-c26e7e731fc8" ] } ], "mendeley" : { "formattedCitation" : "[1]", "plainTextFormattedCitation" : "[1]", "previouslyFormattedCitation" : "&lt;sup&gt;1&lt;/sup&gt;" }, "properties" : {  }, "schema" : "https://github.com/citation-style-language/schema/raw/master/csl-citation.json" }</w:instrText>
      </w:r>
      <w:r w:rsidRPr="000D35D4">
        <w:rPr>
          <w:rFonts w:eastAsia="Times New Roman" w:cs="Times New Roman"/>
          <w:lang w:val="en-US" w:eastAsia="nl-NL"/>
        </w:rPr>
        <w:fldChar w:fldCharType="separate"/>
      </w:r>
      <w:r w:rsidR="00625C5F" w:rsidRPr="00625C5F">
        <w:rPr>
          <w:rFonts w:eastAsia="Times New Roman" w:cs="Times New Roman"/>
          <w:noProof/>
          <w:lang w:val="en-US" w:eastAsia="nl-NL"/>
        </w:rPr>
        <w:t>[1]</w:t>
      </w:r>
      <w:r w:rsidRPr="000D35D4">
        <w:rPr>
          <w:rFonts w:eastAsia="Times New Roman" w:cs="Times New Roman"/>
          <w:lang w:val="en-US" w:eastAsia="nl-NL"/>
        </w:rPr>
        <w:fldChar w:fldCharType="end"/>
      </w:r>
      <w:r w:rsidRPr="000D35D4">
        <w:rPr>
          <w:rFonts w:eastAsia="Times New Roman" w:cs="Times New Roman"/>
          <w:lang w:val="en-US" w:eastAsia="nl-NL"/>
        </w:rPr>
        <w:t>.</w:t>
      </w:r>
    </w:p>
    <w:p w:rsidR="004F7AFD" w:rsidRPr="000D35D4" w:rsidRDefault="004F7AFD" w:rsidP="004F7AFD">
      <w:pPr>
        <w:tabs>
          <w:tab w:val="left" w:pos="0"/>
        </w:tabs>
        <w:spacing w:after="0"/>
        <w:jc w:val="both"/>
        <w:rPr>
          <w:rFonts w:eastAsia="Times New Roman" w:cs="Times New Roman"/>
          <w:lang w:val="en-US" w:eastAsia="nl-NL"/>
        </w:rPr>
      </w:pPr>
    </w:p>
    <w:p w:rsidR="004F7AFD" w:rsidRPr="000D35D4" w:rsidRDefault="004F7AFD" w:rsidP="004F7AFD">
      <w:pPr>
        <w:tabs>
          <w:tab w:val="left" w:pos="0"/>
        </w:tabs>
        <w:spacing w:after="0"/>
        <w:jc w:val="both"/>
        <w:rPr>
          <w:rFonts w:eastAsia="Times New Roman" w:cs="Times New Roman"/>
          <w:b/>
          <w:lang w:val="en-US" w:eastAsia="nl-NL"/>
        </w:rPr>
      </w:pPr>
      <w:r w:rsidRPr="000D35D4">
        <w:rPr>
          <w:rFonts w:eastAsia="Times New Roman" w:cs="Times New Roman"/>
          <w:b/>
          <w:lang w:val="en-US" w:eastAsia="nl-NL"/>
        </w:rPr>
        <w:t>Concept algorithm</w:t>
      </w:r>
    </w:p>
    <w:p w:rsidR="004F7AFD" w:rsidRPr="000D35D4" w:rsidRDefault="004F7AFD" w:rsidP="004F7AFD">
      <w:pPr>
        <w:tabs>
          <w:tab w:val="left" w:pos="0"/>
        </w:tabs>
        <w:spacing w:after="0"/>
        <w:jc w:val="both"/>
        <w:rPr>
          <w:rFonts w:eastAsia="Times New Roman" w:cs="Times New Roman"/>
          <w:b/>
          <w:lang w:val="en-US" w:eastAsia="nl-NL"/>
        </w:rPr>
      </w:pPr>
      <w:r w:rsidRPr="000D35D4">
        <w:rPr>
          <w:rFonts w:eastAsia="Times New Roman" w:cs="Times New Roman"/>
          <w:bCs/>
          <w:lang w:val="en-US" w:eastAsia="nl-NL"/>
        </w:rPr>
        <w:t>Results from these projects were combined into the first version of the concept algorithm. Parameters and cut-offs included in this algorithm are extracted from the systematic literature analysis and from the abovementioned Dutch studies. This first concept version of the algorithm was discus</w:t>
      </w:r>
      <w:r>
        <w:rPr>
          <w:rFonts w:eastAsia="Times New Roman" w:cs="Times New Roman"/>
          <w:bCs/>
          <w:lang w:val="en-US" w:eastAsia="nl-NL"/>
        </w:rPr>
        <w:t>sed with a small group of stake</w:t>
      </w:r>
      <w:r w:rsidRPr="000D35D4">
        <w:rPr>
          <w:rFonts w:eastAsia="Times New Roman" w:cs="Times New Roman"/>
          <w:bCs/>
          <w:lang w:val="en-US" w:eastAsia="nl-NL"/>
        </w:rPr>
        <w:t>holders within the Dutch Pancreatic Cancer Group to evaluate the clinical applicability of the proposed algorithm. Decisions on how to adjust the proposed algorithm were made during several consensus meetings.</w:t>
      </w:r>
    </w:p>
    <w:p w:rsidR="004F7AFD" w:rsidRPr="000D35D4" w:rsidRDefault="004F7AFD" w:rsidP="004F7AFD">
      <w:pPr>
        <w:tabs>
          <w:tab w:val="left" w:pos="0"/>
        </w:tabs>
        <w:spacing w:after="0"/>
        <w:jc w:val="both"/>
        <w:rPr>
          <w:rFonts w:eastAsia="Times New Roman" w:cs="Times New Roman"/>
          <w:i/>
          <w:lang w:val="en-US" w:eastAsia="nl-NL"/>
        </w:rPr>
      </w:pPr>
    </w:p>
    <w:p w:rsidR="004F7AFD" w:rsidRPr="000D35D4" w:rsidRDefault="004F7AFD" w:rsidP="004F7AFD">
      <w:pPr>
        <w:tabs>
          <w:tab w:val="left" w:pos="0"/>
        </w:tabs>
        <w:spacing w:after="0"/>
        <w:jc w:val="both"/>
        <w:rPr>
          <w:rFonts w:eastAsia="Times New Roman" w:cs="Times New Roman"/>
          <w:b/>
          <w:bCs/>
          <w:lang w:val="en-US" w:eastAsia="nl-NL"/>
        </w:rPr>
      </w:pPr>
      <w:r w:rsidRPr="000D35D4">
        <w:rPr>
          <w:rFonts w:eastAsia="Times New Roman" w:cs="Times New Roman"/>
          <w:b/>
          <w:bCs/>
          <w:lang w:val="en-US" w:eastAsia="nl-NL"/>
        </w:rPr>
        <w:t>Validation retrospective cohort</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bCs/>
          <w:lang w:val="en-US" w:eastAsia="nl-NL"/>
        </w:rPr>
        <w:t xml:space="preserve">The effect in terms of number and timing of abdominal CT scans was evaluated in a retrospective cohort. Because of the risk of contamination (i.e. health care providers changing their current </w:t>
      </w:r>
      <w:r w:rsidRPr="000D35D4">
        <w:rPr>
          <w:rFonts w:eastAsia="Times New Roman" w:cs="Times New Roman"/>
          <w:bCs/>
          <w:lang w:val="en-US" w:eastAsia="nl-NL"/>
        </w:rPr>
        <w:lastRenderedPageBreak/>
        <w:t>practice after reviewing the algorithm), we could not perform a formal prospective pilot study. With this validation study we aimed to evaluate the performance of the algorithm.</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bCs/>
          <w:lang w:val="en-US" w:eastAsia="nl-NL"/>
        </w:rPr>
        <w:tab/>
        <w:t xml:space="preserve">All patients undergoing </w:t>
      </w:r>
      <w:proofErr w:type="spellStart"/>
      <w:r w:rsidRPr="000D35D4">
        <w:rPr>
          <w:rFonts w:eastAsia="Times New Roman" w:cs="Times New Roman"/>
          <w:bCs/>
          <w:lang w:val="en-US" w:eastAsia="nl-NL"/>
        </w:rPr>
        <w:t>pancreatoduodenectomy</w:t>
      </w:r>
      <w:proofErr w:type="spellEnd"/>
      <w:r w:rsidRPr="000D35D4">
        <w:rPr>
          <w:rFonts w:eastAsia="Times New Roman" w:cs="Times New Roman"/>
          <w:bCs/>
          <w:lang w:val="en-US" w:eastAsia="nl-NL"/>
        </w:rPr>
        <w:t xml:space="preserve"> or distal pancreatectomy in 2016 in 3 centers of the Dutch Pancreatic Cancer Group were included. Data on patient characteristics, pancreatic resection, postoperative parameters (i.e. body temperature, respiratory rate, heart rate, CRP, WBC, drain amylase) and details on hospitalization course including timing of performed CT scans and invasive interventions were collected. To evaluate the ability of the algorithm to those select patients undergoing a CT scan on the same day or one day </w:t>
      </w:r>
      <w:r>
        <w:rPr>
          <w:rFonts w:eastAsia="Times New Roman" w:cs="Times New Roman"/>
          <w:bCs/>
          <w:lang w:val="en-US" w:eastAsia="nl-NL"/>
        </w:rPr>
        <w:t>before</w:t>
      </w:r>
      <w:r w:rsidRPr="000D35D4">
        <w:rPr>
          <w:rFonts w:eastAsia="Times New Roman" w:cs="Times New Roman"/>
          <w:bCs/>
          <w:lang w:val="en-US" w:eastAsia="nl-NL"/>
        </w:rPr>
        <w:t xml:space="preserve"> that day in reality, diagnostic outcomes were calculated. Secondary outcomes were total number of CT scans, timing of first CT scan and invasive interventions. </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bCs/>
          <w:lang w:val="en-US" w:eastAsia="nl-NL"/>
        </w:rPr>
        <w:tab/>
        <w:t xml:space="preserve">A total of 174 patients were included (53% male, median age 67 years (inter quartile range 57-73); 133 </w:t>
      </w:r>
      <w:proofErr w:type="spellStart"/>
      <w:r w:rsidRPr="000D35D4">
        <w:rPr>
          <w:rFonts w:eastAsia="Times New Roman" w:cs="Times New Roman"/>
          <w:bCs/>
          <w:lang w:val="en-US" w:eastAsia="nl-NL"/>
        </w:rPr>
        <w:t>pancreatoduodenectomies</w:t>
      </w:r>
      <w:proofErr w:type="spellEnd"/>
      <w:r w:rsidRPr="000D35D4">
        <w:rPr>
          <w:rFonts w:eastAsia="Times New Roman" w:cs="Times New Roman"/>
          <w:bCs/>
          <w:lang w:val="en-US" w:eastAsia="nl-NL"/>
        </w:rPr>
        <w:t xml:space="preserve"> and 41 distal pancreatectomies). The algorithm revealed an accuracy of 73%, positive predictive value 15% and negative predictive value 96%. A total 65 patients underwent an abdominal CT scan according to current practice, </w:t>
      </w:r>
      <w:r>
        <w:rPr>
          <w:rFonts w:eastAsia="Times New Roman" w:cs="Times New Roman"/>
          <w:bCs/>
          <w:lang w:val="en-US" w:eastAsia="nl-NL"/>
        </w:rPr>
        <w:t xml:space="preserve">whereas a total of </w:t>
      </w:r>
      <w:r w:rsidRPr="000D35D4">
        <w:rPr>
          <w:rFonts w:eastAsia="Times New Roman" w:cs="Times New Roman"/>
          <w:bCs/>
          <w:lang w:val="en-US" w:eastAsia="nl-NL"/>
        </w:rPr>
        <w:t xml:space="preserve">85 patients </w:t>
      </w:r>
      <w:proofErr w:type="spellStart"/>
      <w:r>
        <w:rPr>
          <w:rFonts w:eastAsia="Times New Roman" w:cs="Times New Roman"/>
          <w:bCs/>
          <w:lang w:val="en-US" w:eastAsia="nl-NL"/>
        </w:rPr>
        <w:t>woud</w:t>
      </w:r>
      <w:proofErr w:type="spellEnd"/>
      <w:r>
        <w:rPr>
          <w:rFonts w:eastAsia="Times New Roman" w:cs="Times New Roman"/>
          <w:bCs/>
          <w:lang w:val="en-US" w:eastAsia="nl-NL"/>
        </w:rPr>
        <w:t xml:space="preserve"> have undergone a CT scan </w:t>
      </w:r>
      <w:r w:rsidRPr="000D35D4">
        <w:rPr>
          <w:rFonts w:eastAsia="Times New Roman" w:cs="Times New Roman"/>
          <w:bCs/>
          <w:lang w:val="en-US" w:eastAsia="nl-NL"/>
        </w:rPr>
        <w:t>according to the algorithm. 22 out of 23 patients with severe pancreatic fistula (i.e. requiring invasive intervention) underwent a CT scan according to the algorithm. In the patient not appointed to a CT scan according to the algorithm</w:t>
      </w:r>
      <w:r>
        <w:rPr>
          <w:rFonts w:eastAsia="Times New Roman" w:cs="Times New Roman"/>
          <w:bCs/>
          <w:lang w:val="en-US" w:eastAsia="nl-NL"/>
        </w:rPr>
        <w:t>,</w:t>
      </w:r>
      <w:r w:rsidRPr="000D35D4">
        <w:rPr>
          <w:rFonts w:eastAsia="Times New Roman" w:cs="Times New Roman"/>
          <w:bCs/>
          <w:lang w:val="en-US" w:eastAsia="nl-NL"/>
        </w:rPr>
        <w:t xml:space="preserve"> the majority of clinical data was missing. The median timing of first CT scan was postoperative day 5 in current practice (interquartile range 3 to 7). This would have been postoperative day 3 according to the algorithm (interquartile range 3 to 4). A total of 36 patients underwent percutaneous drainage after pancreatic resection, this was performed on postoperative day 3 in 5 patients. In addition, 2 patients underwent percutaneous drainage on postoperative day 4 based on an abdominal CT scan performed on postoperative day 3. </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bCs/>
          <w:lang w:val="en-US" w:eastAsia="nl-NL"/>
        </w:rPr>
        <w:tab/>
        <w:t xml:space="preserve">In summary, the algorithm resulted in more scans in the early postoperative phase. However, the overall increase in CT scans is expected to be moderate for early detection of pancreatic fistula will prevent a severely complicated postoperative course. Starting daily clinical evaluation on postoperative day 3 appears to be sufficient, as in 20% of patients ultimately undergoing percutaneous drainage this was indicated based on a CT scan performed on postoperative day 3. In conclusion, the algorithm appears to be effective in early detection of those patients ultimately developing severe pancreatic fistula. </w:t>
      </w:r>
    </w:p>
    <w:p w:rsidR="004F7AFD" w:rsidRPr="000D35D4" w:rsidRDefault="004F7AFD" w:rsidP="004F7AFD">
      <w:pPr>
        <w:tabs>
          <w:tab w:val="left" w:pos="0"/>
        </w:tabs>
        <w:spacing w:after="0"/>
        <w:jc w:val="both"/>
        <w:rPr>
          <w:rFonts w:eastAsia="Times New Roman" w:cs="Times New Roman"/>
          <w:b/>
          <w:bCs/>
          <w:lang w:val="en-US" w:eastAsia="nl-NL"/>
        </w:rPr>
      </w:pPr>
    </w:p>
    <w:p w:rsidR="004F7AFD" w:rsidRPr="000D35D4" w:rsidRDefault="004F7AFD" w:rsidP="004F7AFD">
      <w:pPr>
        <w:tabs>
          <w:tab w:val="left" w:pos="0"/>
        </w:tabs>
        <w:spacing w:after="0"/>
        <w:jc w:val="both"/>
        <w:rPr>
          <w:rFonts w:eastAsia="Times New Roman" w:cs="Times New Roman"/>
          <w:b/>
          <w:bCs/>
          <w:lang w:val="en-US" w:eastAsia="nl-NL"/>
        </w:rPr>
      </w:pPr>
      <w:r w:rsidRPr="000D35D4">
        <w:rPr>
          <w:rFonts w:eastAsia="Times New Roman" w:cs="Times New Roman"/>
          <w:b/>
          <w:bCs/>
          <w:lang w:val="en-US" w:eastAsia="nl-NL"/>
        </w:rPr>
        <w:t>Expert opinion</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bCs/>
          <w:lang w:val="en-US" w:eastAsia="nl-NL"/>
        </w:rPr>
        <w:t>The proposed and validated algorithm was discussed at a meeting with one pancreatic surgeon from every center of the Dutch Pancreatic Cancer group. Only one (mostly the leading pancreatic surgeon) was invited from each center to prevent the algorithm to become known to a larger group of specialists involved in the care of patients with pancreatic cancer, to prevent contamination during the pre-implementation phase of the study. Suggestions for improvement were made after which consensus was reached on both the algorithm and study design.</w:t>
      </w:r>
    </w:p>
    <w:p w:rsidR="004F7AFD" w:rsidRPr="000D35D4" w:rsidRDefault="004F7AFD" w:rsidP="004F7AFD">
      <w:pPr>
        <w:tabs>
          <w:tab w:val="left" w:pos="0"/>
        </w:tabs>
        <w:spacing w:after="0"/>
        <w:jc w:val="both"/>
        <w:rPr>
          <w:rFonts w:eastAsia="Times New Roman" w:cs="Times New Roman"/>
          <w:bCs/>
          <w:lang w:val="en-US" w:eastAsia="nl-NL"/>
        </w:rPr>
      </w:pPr>
      <w:r w:rsidRPr="000D35D4">
        <w:rPr>
          <w:rFonts w:eastAsia="Times New Roman" w:cs="Times New Roman"/>
          <w:lang w:val="en-US" w:eastAsia="nl-NL"/>
        </w:rPr>
        <w:tab/>
      </w:r>
      <w:r w:rsidRPr="000D35D4">
        <w:rPr>
          <w:rFonts w:eastAsia="Times New Roman" w:cs="Times New Roman"/>
          <w:bCs/>
          <w:lang w:val="en-US" w:eastAsia="nl-NL"/>
        </w:rPr>
        <w:t xml:space="preserve">Three internationally highly respected experts in the field of pancreatic surgery were asked to serve in an advisory committee. These experts are asked to critically review the content of the algorithm and study design during different phases of the project. </w:t>
      </w:r>
    </w:p>
    <w:p w:rsidR="004F7AFD" w:rsidRPr="000D35D4" w:rsidRDefault="004F7AFD" w:rsidP="004F7AFD">
      <w:pPr>
        <w:tabs>
          <w:tab w:val="left" w:pos="0"/>
        </w:tabs>
        <w:spacing w:after="120"/>
        <w:outlineLvl w:val="3"/>
        <w:rPr>
          <w:rFonts w:eastAsia="Times New Roman" w:cs="Arial"/>
          <w:b/>
          <w:bCs/>
          <w:kern w:val="28"/>
          <w:sz w:val="32"/>
          <w:szCs w:val="32"/>
          <w:lang w:val="en-US" w:eastAsia="nl-NL"/>
        </w:rPr>
        <w:sectPr w:rsidR="004F7AFD" w:rsidRPr="000D35D4">
          <w:headerReference w:type="default" r:id="rId10"/>
          <w:footerReference w:type="default" r:id="rId11"/>
          <w:pgSz w:w="11906" w:h="16838"/>
          <w:pgMar w:top="1417" w:right="1417" w:bottom="1417" w:left="1417" w:header="708" w:footer="708" w:gutter="0"/>
          <w:cols w:space="708"/>
          <w:docGrid w:linePitch="360"/>
        </w:sectPr>
      </w:pPr>
    </w:p>
    <w:p w:rsidR="004F7AFD" w:rsidRPr="000D35D4" w:rsidRDefault="004F7AFD" w:rsidP="004F7AFD">
      <w:pPr>
        <w:shd w:val="clear" w:color="auto" w:fill="FFFFFF"/>
        <w:spacing w:after="0"/>
        <w:rPr>
          <w:rFonts w:eastAsia="Times New Roman" w:cs="Arial"/>
          <w:i/>
          <w:color w:val="222222"/>
          <w:sz w:val="19"/>
          <w:szCs w:val="19"/>
          <w:lang w:val="en-GB" w:eastAsia="en-GB"/>
        </w:rPr>
      </w:pPr>
      <w:r w:rsidRPr="000D35D4">
        <w:rPr>
          <w:rFonts w:eastAsia="Times New Roman" w:cs="Times New Roman"/>
          <w:b/>
          <w:sz w:val="32"/>
          <w:szCs w:val="32"/>
          <w:lang w:val="en-US" w:eastAsia="nl-NL"/>
        </w:rPr>
        <w:lastRenderedPageBreak/>
        <w:t xml:space="preserve">APPENDIX 2: </w:t>
      </w:r>
      <w:r w:rsidRPr="000D35D4">
        <w:rPr>
          <w:rFonts w:eastAsia="Times New Roman" w:cs="Arial"/>
          <w:b/>
          <w:bCs/>
          <w:color w:val="222222"/>
          <w:sz w:val="32"/>
          <w:szCs w:val="32"/>
          <w:lang w:val="en-GB" w:eastAsia="en-GB"/>
        </w:rPr>
        <w:t>Interpretation And Rationale of the Algorithm</w:t>
      </w:r>
    </w:p>
    <w:p w:rsidR="004F7AFD" w:rsidRPr="000D35D4" w:rsidRDefault="004F7AFD" w:rsidP="004F7AFD">
      <w:pPr>
        <w:shd w:val="clear" w:color="auto" w:fill="FFFFFF"/>
        <w:spacing w:after="0" w:line="240" w:lineRule="auto"/>
        <w:rPr>
          <w:rFonts w:eastAsia="Times New Roman" w:cs="Arial"/>
          <w:color w:val="222222"/>
          <w:sz w:val="19"/>
          <w:szCs w:val="19"/>
          <w:lang w:val="en-GB" w:eastAsia="en-GB"/>
        </w:rPr>
      </w:pPr>
    </w:p>
    <w:p w:rsidR="004F7AFD" w:rsidRPr="000D35D4" w:rsidRDefault="004F7AFD" w:rsidP="004F7AFD">
      <w:pPr>
        <w:spacing w:after="0"/>
        <w:jc w:val="both"/>
        <w:rPr>
          <w:rFonts w:eastAsia="Times New Roman" w:cs="Times New Roman"/>
          <w:lang w:val="en-US"/>
        </w:rPr>
      </w:pPr>
      <w:r w:rsidRPr="000D35D4">
        <w:rPr>
          <w:lang w:val="en-US"/>
        </w:rPr>
        <w:t xml:space="preserve">The interpretation and rationale for the construction of this algorithm, including proposed exact cut-offs and thresholds are explained in this document. </w:t>
      </w:r>
      <w:r w:rsidRPr="000D35D4">
        <w:rPr>
          <w:rFonts w:eastAsia="Times New Roman" w:cs="Times New Roman"/>
          <w:lang w:val="en-US"/>
        </w:rPr>
        <w:t xml:space="preserve">All parameters included in the algorithm are: </w:t>
      </w:r>
    </w:p>
    <w:p w:rsidR="004F7AFD" w:rsidRPr="000D35D4" w:rsidRDefault="004F7AFD" w:rsidP="004F7AFD">
      <w:pPr>
        <w:numPr>
          <w:ilvl w:val="0"/>
          <w:numId w:val="9"/>
        </w:numPr>
        <w:spacing w:after="0"/>
        <w:contextualSpacing/>
        <w:jc w:val="both"/>
        <w:rPr>
          <w:rFonts w:eastAsia="Times New Roman" w:cs="Times New Roman"/>
          <w:lang w:val="en-US"/>
        </w:rPr>
      </w:pPr>
      <w:r>
        <w:rPr>
          <w:rFonts w:eastAsia="Times New Roman" w:cs="Times New Roman"/>
          <w:lang w:val="en-US"/>
        </w:rPr>
        <w:t>A</w:t>
      </w:r>
      <w:r w:rsidRPr="000D35D4">
        <w:rPr>
          <w:rFonts w:eastAsia="Times New Roman" w:cs="Times New Roman"/>
          <w:lang w:val="en-US"/>
        </w:rPr>
        <w:t>ssociated with early detection or improved outcome in patients with clinically relevant pancreatic fistula</w:t>
      </w:r>
      <w:r>
        <w:rPr>
          <w:rFonts w:eastAsia="Times New Roman" w:cs="Times New Roman"/>
          <w:lang w:val="en-US"/>
        </w:rPr>
        <w:t xml:space="preserve"> as demonstrated</w:t>
      </w:r>
      <w:r w:rsidRPr="000D35D4">
        <w:rPr>
          <w:rFonts w:eastAsia="Times New Roman" w:cs="Times New Roman"/>
          <w:lang w:val="en-US"/>
        </w:rPr>
        <w:t xml:space="preserve"> in the literature or </w:t>
      </w:r>
    </w:p>
    <w:p w:rsidR="004F7AFD" w:rsidRPr="000D35D4" w:rsidRDefault="004F7AFD" w:rsidP="004F7AFD">
      <w:pPr>
        <w:numPr>
          <w:ilvl w:val="0"/>
          <w:numId w:val="9"/>
        </w:numPr>
        <w:spacing w:after="0"/>
        <w:contextualSpacing/>
        <w:jc w:val="both"/>
        <w:rPr>
          <w:rFonts w:eastAsia="Times New Roman" w:cs="Times New Roman"/>
          <w:lang w:val="en-US"/>
        </w:rPr>
      </w:pPr>
      <w:r w:rsidRPr="000D35D4">
        <w:rPr>
          <w:rFonts w:eastAsia="Times New Roman" w:cs="Times New Roman"/>
          <w:lang w:val="en-US"/>
        </w:rPr>
        <w:t>Widely used in current practice for early detection or generally associated with an improved outcome in patients with clinically relevant pancreatic fistula</w:t>
      </w:r>
    </w:p>
    <w:p w:rsidR="004F7AFD" w:rsidRPr="000D35D4" w:rsidRDefault="004F7AFD" w:rsidP="004F7AFD">
      <w:pPr>
        <w:spacing w:after="0"/>
        <w:jc w:val="both"/>
        <w:rPr>
          <w:rFonts w:eastAsia="Times New Roman" w:cs="Times New Roman"/>
          <w:lang w:val="en-US"/>
        </w:rPr>
      </w:pPr>
      <w:r w:rsidRPr="000D35D4">
        <w:rPr>
          <w:rFonts w:eastAsia="Times New Roman" w:cs="Times New Roman"/>
          <w:lang w:val="en-US"/>
        </w:rPr>
        <w:t xml:space="preserve">The best practice algorithm was discussed at meeting with the study steering committee and the leading pancreatic surgeon from every Dutch center performing pancreatic surgery and with the leading pancreatic surgeons from three internationally renowned centers (i.e. </w:t>
      </w:r>
      <w:r w:rsidRPr="000D35D4">
        <w:rPr>
          <w:rFonts w:eastAsia="Times New Roman" w:cs="Times New Roman"/>
          <w:i/>
          <w:lang w:val="en-US"/>
        </w:rPr>
        <w:t xml:space="preserve">Johns Hopkins Medical Center Baltimore, UPMC Pittsburgh, </w:t>
      </w:r>
      <w:proofErr w:type="spellStart"/>
      <w:r w:rsidRPr="000D35D4">
        <w:rPr>
          <w:rFonts w:eastAsia="Times New Roman" w:cs="Times New Roman"/>
          <w:i/>
          <w:lang w:val="en-US"/>
        </w:rPr>
        <w:t>Karolinska</w:t>
      </w:r>
      <w:proofErr w:type="spellEnd"/>
      <w:r w:rsidRPr="000D35D4">
        <w:rPr>
          <w:rFonts w:eastAsia="Times New Roman" w:cs="Times New Roman"/>
          <w:i/>
          <w:lang w:val="en-US"/>
        </w:rPr>
        <w:t xml:space="preserve"> </w:t>
      </w:r>
      <w:proofErr w:type="spellStart"/>
      <w:r w:rsidRPr="000D35D4">
        <w:rPr>
          <w:rFonts w:eastAsia="Times New Roman" w:cs="Times New Roman"/>
          <w:i/>
          <w:lang w:val="en-US"/>
        </w:rPr>
        <w:t>Institutet</w:t>
      </w:r>
      <w:proofErr w:type="spellEnd"/>
      <w:r w:rsidRPr="000D35D4">
        <w:rPr>
          <w:rFonts w:eastAsia="Times New Roman" w:cs="Times New Roman"/>
          <w:i/>
          <w:lang w:val="en-US"/>
        </w:rPr>
        <w:t xml:space="preserve"> Stockholm</w:t>
      </w:r>
      <w:r w:rsidRPr="000D35D4">
        <w:rPr>
          <w:rFonts w:eastAsia="Times New Roman" w:cs="Times New Roman"/>
          <w:lang w:val="en-US"/>
        </w:rPr>
        <w:t>). There is consensus amongst all experts involved in this trial that this algorithm represents the best quality of postoperative care for patients undergoing pancreatic resection.</w:t>
      </w:r>
    </w:p>
    <w:p w:rsidR="004F7AFD" w:rsidRPr="000D35D4" w:rsidRDefault="004F7AFD" w:rsidP="004F7AFD">
      <w:pPr>
        <w:spacing w:after="0"/>
        <w:jc w:val="both"/>
        <w:rPr>
          <w:rFonts w:eastAsia="Times New Roman" w:cs="Times New Roman"/>
          <w:lang w:val="en-US"/>
        </w:rPr>
      </w:pPr>
    </w:p>
    <w:p w:rsidR="004F7AFD" w:rsidRPr="000D35D4" w:rsidRDefault="004F7AFD" w:rsidP="004F7AFD">
      <w:pPr>
        <w:spacing w:after="0"/>
        <w:jc w:val="both"/>
        <w:rPr>
          <w:rFonts w:eastAsia="Times New Roman" w:cs="Times New Roman"/>
          <w:lang w:val="en-US"/>
        </w:rPr>
      </w:pPr>
      <w:r w:rsidRPr="000D35D4">
        <w:rPr>
          <w:b/>
          <w:noProof/>
          <w:lang w:eastAsia="nl-NL"/>
        </w:rPr>
        <w:drawing>
          <wp:inline distT="0" distB="0" distL="0" distR="0" wp14:anchorId="4F89BDF6" wp14:editId="724971A9">
            <wp:extent cx="5760720" cy="3096260"/>
            <wp:effectExtent l="0" t="0" r="0" b="889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3096260"/>
                    </a:xfrm>
                    <a:prstGeom prst="rect">
                      <a:avLst/>
                    </a:prstGeom>
                  </pic:spPr>
                </pic:pic>
              </a:graphicData>
            </a:graphic>
          </wp:inline>
        </w:drawing>
      </w:r>
    </w:p>
    <w:p w:rsidR="004F7AFD" w:rsidRPr="000D35D4" w:rsidRDefault="004F7AFD" w:rsidP="004F7AFD">
      <w:pPr>
        <w:spacing w:after="0"/>
        <w:jc w:val="both"/>
        <w:rPr>
          <w:i/>
          <w:lang w:val="en-US"/>
        </w:rPr>
      </w:pPr>
    </w:p>
    <w:p w:rsidR="004F7AFD" w:rsidRPr="000D35D4" w:rsidRDefault="004F7AFD" w:rsidP="004F7AFD">
      <w:pPr>
        <w:spacing w:after="0"/>
        <w:jc w:val="both"/>
        <w:rPr>
          <w:i/>
          <w:lang w:val="en-US"/>
        </w:rPr>
      </w:pPr>
      <w:r w:rsidRPr="000D35D4">
        <w:rPr>
          <w:i/>
          <w:lang w:val="en-US"/>
        </w:rPr>
        <w:t>Daily evaluation starting postoperative day 3</w:t>
      </w:r>
    </w:p>
    <w:p w:rsidR="004F7AFD" w:rsidRPr="000D35D4" w:rsidRDefault="004F7AFD" w:rsidP="004F7AFD">
      <w:pPr>
        <w:spacing w:after="0"/>
        <w:jc w:val="both"/>
        <w:rPr>
          <w:b/>
          <w:lang w:val="en-US"/>
        </w:rPr>
      </w:pPr>
      <w:r w:rsidRPr="000D35D4">
        <w:rPr>
          <w:lang w:val="en-US"/>
        </w:rPr>
        <w:t>The algorithm for early detection of pancreatic fistula starts on the third postoperative day. Pancreatic fistula only rarely occurs within the first 3 days</w:t>
      </w:r>
      <w:r w:rsidRPr="000D35D4">
        <w:rPr>
          <w:lang w:val="en-US"/>
        </w:rPr>
        <w:fldChar w:fldCharType="begin" w:fldLock="1"/>
      </w:r>
      <w:r w:rsidR="00625C5F">
        <w:rPr>
          <w:lang w:val="en-US"/>
        </w:rPr>
        <w:instrText>ADDIN CSL_CITATION { "citationItems" : [ { "id" : "ITEM-1", "itemData" : { "DOI" : "10.1016/j.surg.2016.11.014", "author" : [ { "dropping-particle" : "", "family" : "Bassi", "given" : "Claudio", "non-dropping-particle" : "", "parse-names" : false, "suffix" : "" }, { "dropping-particle" : "", "family" : "Marchegiani", "given" : "Giovanni", "non-dropping-particle" : "", "parse-names" : false, "suffix" : "" }, { "dropping-particle" : "", "family" : "Dervenis", "given" : "Christos", "non-dropping-particle" : "", "parse-names" : false, "suffix" : "" }, { "dropping-particle" : "", "family" : "Sarr", "given" : "Micheal", "non-dropping-particle" : "", "parse-names" : false, "suffix" : "" } ], "id" : "ITEM-1", "issued" : { "date-parts" : [ [ "2016" ] ] }, "page" : "1-8", "publisher" : "Elsevier Inc.", "title" : "The 2016 update of the International Study Group ( ISGPS ) definition and grading of postoperative pancreatic fistula : 11 Years After", "type" : "article-journal" }, "uris" : [ "http://www.mendeley.com/documents/?uuid=d231fe38-557b-4732-a91c-fdd9e53be9a7" ] } ], "mendeley" : { "formattedCitation" : "[2]", "plainTextFormattedCitation" : "[2]", "previouslyFormattedCitation" : "&lt;sup&gt;2&lt;/sup&gt;" }, "properties" : {  }, "schema" : "https://github.com/citation-style-language/schema/raw/master/csl-citation.json" }</w:instrText>
      </w:r>
      <w:r w:rsidRPr="000D35D4">
        <w:rPr>
          <w:lang w:val="en-US"/>
        </w:rPr>
        <w:fldChar w:fldCharType="separate"/>
      </w:r>
      <w:r w:rsidR="00625C5F" w:rsidRPr="00625C5F">
        <w:rPr>
          <w:noProof/>
          <w:lang w:val="en-US"/>
        </w:rPr>
        <w:t>[2]</w:t>
      </w:r>
      <w:r w:rsidRPr="000D35D4">
        <w:rPr>
          <w:lang w:val="en-US"/>
        </w:rPr>
        <w:fldChar w:fldCharType="end"/>
      </w:r>
      <w:r w:rsidRPr="000D35D4">
        <w:rPr>
          <w:lang w:val="en-US"/>
        </w:rPr>
        <w:t xml:space="preserve"> and physiologic postoperative inflammatory response limits the distinctiveness of inflammatory markers in the early postoperative phase</w:t>
      </w:r>
      <w:r w:rsidRPr="000D35D4">
        <w:rPr>
          <w:lang w:val="en-US"/>
        </w:rPr>
        <w:fldChar w:fldCharType="begin" w:fldLock="1"/>
      </w:r>
      <w:r w:rsidR="00625C5F">
        <w:rPr>
          <w:lang w:val="en-US"/>
        </w:rPr>
        <w:instrText>ADDIN CSL_CITATION { "citationItems" : [ { "id" : "ITEM-1", "itemData" : { "PMID" : "8916880", "abstract" : "OBJECTIVE The effects of interleukin (IL)-6 in the injured patient are examined in an attempt to clarify the potential pathophysiologic role of IL-6 in the response to injury. SUMMARY BACKGROUND DATA Interleukin-6 is an integral cytokine mediator of the acute phase response to injury and infection. However, prolonged and excessive elevations of circulating IL-6 levels in patients after trauma, burns, and elective surgery have been associated with complications and mortality. The mechanistic role of IL-6 in mediating these effects is unclear. METHODS A review of current literature is performed to summarize the origins, mechanisms of action, and biologic effects of IL-6 and to characterize the IL-6 response to injury. RESULTS Interleukin-6 is a multifunctional cytokine expressed by a variety of cells after a multitude of stimuli, under complex regulatory control mechanisms. The IL-6 response to injury is uniquely consistent and related to the magnitude of the insult. Moreover, the early postinjury IL-6 response correlates with complications as well as mortality. CONCLUSIONS Interleukin-6 appears to play an active role in the postinjury immune response, making it an attractive therapeutic target in attempts to control hyperinflammatory provoked organ injury.", "author" : [ { "dropping-particle" : "", "family" : "Biffl", "given" : "W L", "non-dropping-particle" : "", "parse-names" : false, "suffix" : "" }, { "dropping-particle" : "", "family" : "Moore", "given" : "E E", "non-dropping-particle" : "", "parse-names" : false, "suffix" : "" }, { "dropping-particle" : "", "family" : "Moore", "given" : "F A", "non-dropping-particle" : "", "parse-names" : false, "suffix" : "" }, { "dropping-particle" : "", "family" : "Peterson", "given" : "V M", "non-dropping-particle" : "", "parse-names" : false, "suffix" : "" } ], "container-title" : "Annals of surgery", "id" : "ITEM-1", "issue" : "5", "issued" : { "date-parts" : [ [ "1996", "11" ] ] }, "page" : "647-64", "title" : "Interleukin-6 in the injured patient. Marker of injury or mediator of inflammation?", "type" : "article-journal", "volume" : "224" }, "uris" : [ "http://www.mendeley.com/documents/?uuid=d9dc672f-4735-3cc0-97ad-9a1254342d98" ] } ], "mendeley" : { "formattedCitation" : "[3]", "plainTextFormattedCitation" : "[3]", "previouslyFormattedCitation" : "&lt;sup&gt;3&lt;/sup&gt;" }, "properties" : {  }, "schema" : "https://github.com/citation-style-language/schema/raw/master/csl-citation.json" }</w:instrText>
      </w:r>
      <w:r w:rsidRPr="000D35D4">
        <w:rPr>
          <w:lang w:val="en-US"/>
        </w:rPr>
        <w:fldChar w:fldCharType="separate"/>
      </w:r>
      <w:r w:rsidR="00625C5F" w:rsidRPr="00625C5F">
        <w:rPr>
          <w:noProof/>
          <w:lang w:val="en-US"/>
        </w:rPr>
        <w:t>[3]</w:t>
      </w:r>
      <w:r w:rsidRPr="000D35D4">
        <w:rPr>
          <w:lang w:val="en-US"/>
        </w:rPr>
        <w:fldChar w:fldCharType="end"/>
      </w:r>
      <w:r w:rsidRPr="000D35D4">
        <w:rPr>
          <w:lang w:val="en-US"/>
        </w:rPr>
        <w:t xml:space="preserve">. </w:t>
      </w:r>
    </w:p>
    <w:p w:rsidR="004F7AFD" w:rsidRPr="000D35D4" w:rsidRDefault="004F7AFD" w:rsidP="004F7AFD">
      <w:pPr>
        <w:tabs>
          <w:tab w:val="left" w:pos="0"/>
        </w:tabs>
        <w:spacing w:after="120" w:line="360" w:lineRule="auto"/>
        <w:outlineLvl w:val="3"/>
        <w:rPr>
          <w:rFonts w:eastAsia="Times New Roman" w:cs="Arial"/>
          <w:b/>
          <w:bCs/>
          <w:kern w:val="28"/>
          <w:sz w:val="32"/>
          <w:szCs w:val="32"/>
          <w:lang w:val="en-US" w:eastAsia="nl-NL"/>
        </w:rPr>
      </w:pPr>
      <w:r w:rsidRPr="000D35D4">
        <w:rPr>
          <w:b/>
          <w:noProof/>
          <w:lang w:eastAsia="nl-NL"/>
        </w:rPr>
        <w:lastRenderedPageBreak/>
        <w:drawing>
          <wp:inline distT="0" distB="0" distL="0" distR="0" wp14:anchorId="038D1F2F" wp14:editId="57F2133B">
            <wp:extent cx="5760720" cy="3312160"/>
            <wp:effectExtent l="0" t="0" r="0" b="254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312160"/>
                    </a:xfrm>
                    <a:prstGeom prst="rect">
                      <a:avLst/>
                    </a:prstGeom>
                  </pic:spPr>
                </pic:pic>
              </a:graphicData>
            </a:graphic>
          </wp:inline>
        </w:drawing>
      </w:r>
    </w:p>
    <w:p w:rsidR="004F7AFD" w:rsidRPr="000D35D4" w:rsidRDefault="004F7AFD" w:rsidP="004F7AFD">
      <w:pPr>
        <w:spacing w:after="0"/>
        <w:jc w:val="both"/>
        <w:rPr>
          <w:b/>
          <w:lang w:val="en-US"/>
        </w:rPr>
      </w:pPr>
      <w:r w:rsidRPr="000D35D4">
        <w:rPr>
          <w:b/>
          <w:lang w:val="en-US"/>
        </w:rPr>
        <w:t>General considerations when evaluating the indication for abdominal CT scan</w:t>
      </w:r>
    </w:p>
    <w:p w:rsidR="004F7AFD" w:rsidRPr="000D35D4" w:rsidRDefault="004F7AFD" w:rsidP="004F7AFD">
      <w:pPr>
        <w:numPr>
          <w:ilvl w:val="0"/>
          <w:numId w:val="11"/>
        </w:numPr>
        <w:spacing w:after="0"/>
        <w:contextualSpacing/>
        <w:jc w:val="both"/>
        <w:rPr>
          <w:lang w:val="en-US"/>
        </w:rPr>
      </w:pPr>
      <w:r w:rsidRPr="000D35D4">
        <w:rPr>
          <w:lang w:val="en-US"/>
        </w:rPr>
        <w:t xml:space="preserve">Abdominal CT scan on two consecutive days is only indicated based on the clinical judgment of the pancreatic surgeon </w:t>
      </w:r>
    </w:p>
    <w:p w:rsidR="004F7AFD" w:rsidRPr="000D35D4" w:rsidRDefault="004F7AFD" w:rsidP="004F7AFD">
      <w:pPr>
        <w:numPr>
          <w:ilvl w:val="0"/>
          <w:numId w:val="11"/>
        </w:numPr>
        <w:spacing w:after="0"/>
        <w:contextualSpacing/>
        <w:jc w:val="both"/>
        <w:rPr>
          <w:lang w:val="en-US"/>
        </w:rPr>
      </w:pPr>
      <w:r w:rsidRPr="000D35D4">
        <w:rPr>
          <w:lang w:val="en-US"/>
        </w:rPr>
        <w:t>The indication for abdominal CT scan is based on abnormalities in inflammatory parameters</w:t>
      </w:r>
    </w:p>
    <w:p w:rsidR="004F7AFD" w:rsidRPr="000D35D4" w:rsidRDefault="004F7AFD" w:rsidP="004F7AFD">
      <w:pPr>
        <w:numPr>
          <w:ilvl w:val="0"/>
          <w:numId w:val="11"/>
        </w:numPr>
        <w:spacing w:after="0"/>
        <w:contextualSpacing/>
        <w:jc w:val="both"/>
        <w:rPr>
          <w:lang w:val="en-US"/>
        </w:rPr>
      </w:pPr>
      <w:r w:rsidRPr="000D35D4">
        <w:rPr>
          <w:lang w:val="en-US"/>
        </w:rPr>
        <w:t>The local pancreatic surgeon is asked to evaluate if there is another clear focus of major infection might cause th</w:t>
      </w:r>
      <w:r>
        <w:rPr>
          <w:lang w:val="en-US"/>
        </w:rPr>
        <w:t xml:space="preserve">ese inflammatory abnormalities, bearing </w:t>
      </w:r>
      <w:r w:rsidRPr="000D35D4">
        <w:rPr>
          <w:lang w:val="en-US"/>
        </w:rPr>
        <w:t xml:space="preserve">in mind that other infections (e.g. pneumonia or wound infection) could be secondary to an abdominal focus. </w:t>
      </w:r>
    </w:p>
    <w:p w:rsidR="004F7AFD" w:rsidRPr="000D35D4" w:rsidRDefault="004F7AFD" w:rsidP="004F7AFD">
      <w:pPr>
        <w:numPr>
          <w:ilvl w:val="0"/>
          <w:numId w:val="11"/>
        </w:numPr>
        <w:spacing w:after="0"/>
        <w:contextualSpacing/>
        <w:jc w:val="both"/>
        <w:rPr>
          <w:lang w:val="en-US"/>
        </w:rPr>
      </w:pPr>
      <w:r w:rsidRPr="000D35D4">
        <w:rPr>
          <w:lang w:val="en-US"/>
        </w:rPr>
        <w:t>An abdominal CT scan is always indicated in patients with abnormalities in inflammatory parameters in combination with an elevation of drain amylase level</w:t>
      </w:r>
    </w:p>
    <w:p w:rsidR="004F7AFD" w:rsidRPr="000D35D4" w:rsidRDefault="004F7AFD" w:rsidP="004F7AFD">
      <w:pPr>
        <w:numPr>
          <w:ilvl w:val="0"/>
          <w:numId w:val="11"/>
        </w:numPr>
        <w:spacing w:after="0"/>
        <w:contextualSpacing/>
        <w:jc w:val="both"/>
        <w:rPr>
          <w:lang w:val="en-US"/>
        </w:rPr>
      </w:pPr>
      <w:r w:rsidRPr="000D35D4">
        <w:rPr>
          <w:lang w:val="en-US"/>
        </w:rPr>
        <w:t xml:space="preserve">One local pancreatic surgeon should visit the admitted </w:t>
      </w:r>
      <w:proofErr w:type="spellStart"/>
      <w:r w:rsidRPr="000D35D4">
        <w:rPr>
          <w:lang w:val="en-US"/>
        </w:rPr>
        <w:t>postpancreatectomy</w:t>
      </w:r>
      <w:proofErr w:type="spellEnd"/>
      <w:r w:rsidRPr="000D35D4">
        <w:rPr>
          <w:lang w:val="en-US"/>
        </w:rPr>
        <w:t xml:space="preserve"> patients daily. For practical reasons, in weekdays (Monday to Friday) this should by in person, in weekends (Saturday and Sunday) they should (at least) </w:t>
      </w:r>
      <w:r>
        <w:rPr>
          <w:lang w:val="en-US"/>
        </w:rPr>
        <w:t xml:space="preserve">personally </w:t>
      </w:r>
      <w:r w:rsidRPr="000D35D4">
        <w:rPr>
          <w:lang w:val="en-US"/>
        </w:rPr>
        <w:t>discuss the patient with the attending</w:t>
      </w:r>
      <w:r>
        <w:rPr>
          <w:lang w:val="en-US"/>
        </w:rPr>
        <w:t xml:space="preserve"> gastrointestinal</w:t>
      </w:r>
      <w:r w:rsidRPr="000D35D4">
        <w:rPr>
          <w:lang w:val="en-US"/>
        </w:rPr>
        <w:t xml:space="preserve"> surgeon or resident</w:t>
      </w:r>
    </w:p>
    <w:p w:rsidR="004F7AFD" w:rsidRPr="000D35D4" w:rsidRDefault="004F7AFD" w:rsidP="004F7AFD">
      <w:pPr>
        <w:spacing w:after="0"/>
        <w:jc w:val="both"/>
        <w:rPr>
          <w:lang w:val="en-US"/>
        </w:rPr>
      </w:pPr>
    </w:p>
    <w:p w:rsidR="004F7AFD" w:rsidRPr="000D35D4" w:rsidRDefault="004F7AFD" w:rsidP="004F7AFD">
      <w:pPr>
        <w:spacing w:after="0"/>
        <w:jc w:val="both"/>
        <w:rPr>
          <w:i/>
          <w:lang w:val="en-US"/>
        </w:rPr>
      </w:pPr>
      <w:r w:rsidRPr="000D35D4">
        <w:rPr>
          <w:i/>
          <w:lang w:val="en-US"/>
        </w:rPr>
        <w:t>CT scan yesterday</w:t>
      </w:r>
    </w:p>
    <w:p w:rsidR="004F7AFD" w:rsidRPr="000D35D4" w:rsidRDefault="004F7AFD" w:rsidP="004F7AFD">
      <w:pPr>
        <w:spacing w:after="0"/>
        <w:jc w:val="both"/>
        <w:rPr>
          <w:lang w:val="en-US"/>
        </w:rPr>
      </w:pPr>
      <w:r w:rsidRPr="000D35D4">
        <w:rPr>
          <w:lang w:val="en-US"/>
        </w:rPr>
        <w:t xml:space="preserve">A safety measure was introduced in to prevent patients from undergoing daily CT scans. Therefore, CT scans on two subsequent days are only indicated if the pancreatic surgeon sees any reason to do so. </w:t>
      </w:r>
    </w:p>
    <w:p w:rsidR="004F7AFD" w:rsidRPr="000D35D4" w:rsidRDefault="004F7AFD" w:rsidP="004F7AFD">
      <w:pPr>
        <w:spacing w:after="0"/>
        <w:jc w:val="both"/>
        <w:rPr>
          <w:lang w:val="en-US"/>
        </w:rPr>
      </w:pPr>
    </w:p>
    <w:p w:rsidR="004F7AFD" w:rsidRPr="000D35D4" w:rsidRDefault="004F7AFD" w:rsidP="004F7AFD">
      <w:pPr>
        <w:spacing w:after="0"/>
        <w:jc w:val="both"/>
        <w:rPr>
          <w:i/>
          <w:lang w:val="en-US"/>
        </w:rPr>
      </w:pPr>
      <w:r w:rsidRPr="000D35D4">
        <w:rPr>
          <w:i/>
          <w:lang w:val="en-US"/>
        </w:rPr>
        <w:t>Fever</w:t>
      </w:r>
    </w:p>
    <w:p w:rsidR="004F7AFD" w:rsidRPr="000D35D4" w:rsidRDefault="004F7AFD" w:rsidP="004F7AFD">
      <w:pPr>
        <w:spacing w:after="0"/>
        <w:jc w:val="both"/>
        <w:rPr>
          <w:lang w:val="en-US"/>
        </w:rPr>
      </w:pPr>
      <w:r w:rsidRPr="000D35D4">
        <w:rPr>
          <w:lang w:val="en-US"/>
        </w:rPr>
        <w:t>Temperature was included in the algorithm based on the current literature and expert opinion. The association between elevation in body temperature after pancreatic resection and severe postoperative pancreatic fistula was evaluated in 3 studies on a total of 435 patients</w:t>
      </w:r>
      <w:r w:rsidRPr="000D35D4">
        <w:rPr>
          <w:lang w:val="en-US"/>
        </w:rPr>
        <w:fldChar w:fldCharType="begin" w:fldLock="1"/>
      </w:r>
      <w:r w:rsidR="00625C5F">
        <w:rPr>
          <w:lang w:val="en-US"/>
        </w:rPr>
        <w:instrText>ADDIN CSL_CITATION { "citationItems" : [ { "id" : "ITEM-1",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"ITEM-1",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"id" : "ITEM-2", "itemData" : { "DOI" : "10.1111/j.1477-2574.2010.00212.x", "ISSN" : "1365182X", "PMID" : "20815856", "abstract" : "BACKGROUND Post-operative pancreatic fistula (POPF) is a common and potentially devastating complication of pancreas resection. Management of this complication is important to the pancreas surgeon. OBJECTIVE The aim of the present study was to evaluate whether drain data accurately predicts clinically significant POPF. METHODS A prospectively maintained database with daily drain amylase concentrations and output volumes from 177 consecutive pancreatic resections was analysed. Drain data, demographic and operative data were correlated with POPF (ISGPF Grade: A--clinically silent, B--clinically evident, C--severe) to determine predictive factors. RESULTS Twenty-six (46.4%) out of 56 patients who underwent distal pancreatectomy and 52 (43.0%) out of 121 patients who underwent a Whipple procedure developed a POPF (Grade A-C). POPFs were classified as A (24, 42.9%) and C (2, 3.6%) after distal pancreatectomy whereas they were graded as A (35, 28.9%), B (15, 12.4%) and C (2, 1.7%) after Whipple procedures. Drain data analysis was limited to Whipple procedures because only two patients developed a clinically significant leak after distal pancreatectomy. The daily total drain output did not differ between patients with a clinical leak (Grades B/C) and patients without a clinical leak (no leak and Grade A) on post-operative day (POD) 1 to 7. Although the median amylase concentration was significantly higher in patients with a clinical leak on POD 1-6, there was no day that amylase concentration predicted a clinical leak better than simply classifying all patients as 'no leak' (maximum accuracy = 86.1% on POD 1, expected accuracy by chance = 85.6%, kappa = 10.2%). CONCLUSION Drain amylase data in the early post-operative period are not a sensitive or specific predictor of which patients will develop clinically significant POPF after pancreas resection.", "author" : [ { "dropping-particle" : "", "family" : "Moskovic", "given" : "Daniel J.", "non-dropping-particle" : "", "parse-names" : false, "suffix" : "" }, { "dropping-particle" : "", "family" : "Hodges", "given" : "Sally E.", "non-dropping-particle" : "", "parse-names" : false, "suffix" : "" }, { "dropping-particle" : "", "family" : "Wu", "given" : "Meng-Fen", "non-dropping-particle" : "", "parse-names" : false, "suffix" : "" }, { "dropping-particle" : "", "family" : "Brunicardi", "given" : "F. Charles", "non-dropping-particle" : "", "parse-names" : false, "suffix" : "" }, { "dropping-particle" : "", "family" : "Hilsenbeck", "given" : "Susan G.", "non-dropping-particle" : "", "parse-names" : false, "suffix" : "" }, { "dropping-particle" : "", "family" : "Fisher", "given" : "William E.", "non-dropping-particle" : "", "parse-names" : false, "suffix" : "" } ], "container-title" : "HPB", "id" : "ITEM-2", "issue" : "7", "issued" : { "date-parts" : [ [ "2010", "9" ] ] }, "page" : "472-481", "title" : "Drain data to predict clinically relevant pancreatic fistula", "type" : "article-journal", "volume" : "12" }, "uris" : [ "http://www.mendeley.com/documents/?uuid=d502b27a-4372-4f68-93a2-5c73bfa76aec" ] }, { "id" : "ITEM-3",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"ITEM-3",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"[4\u20136]", "plainTextFormattedCitation" : "[4\u20136]", "previouslyFormattedCitation" : "&lt;sup&gt;4\u20136&lt;/sup&gt;" }, "properties" : {  }, "schema" : "https://github.com/citation-style-language/schema/raw/master/csl-citation.json" }</w:instrText>
      </w:r>
      <w:r w:rsidRPr="000D35D4">
        <w:rPr>
          <w:lang w:val="en-US"/>
        </w:rPr>
        <w:fldChar w:fldCharType="separate"/>
      </w:r>
      <w:r w:rsidR="00625C5F" w:rsidRPr="00625C5F">
        <w:rPr>
          <w:noProof/>
          <w:lang w:val="en-US"/>
        </w:rPr>
        <w:t>[4–6]</w:t>
      </w:r>
      <w:r w:rsidRPr="000D35D4">
        <w:rPr>
          <w:lang w:val="en-US"/>
        </w:rPr>
        <w:fldChar w:fldCharType="end"/>
      </w:r>
      <w:r w:rsidRPr="000D35D4">
        <w:rPr>
          <w:lang w:val="en-US"/>
        </w:rPr>
        <w:t>. All outcomes of these studies are provided in the table below.</w:t>
      </w:r>
    </w:p>
    <w:p w:rsidR="004F7AFD" w:rsidRPr="000D35D4" w:rsidRDefault="004F7AFD" w:rsidP="004F7AFD">
      <w:pPr>
        <w:spacing w:after="0"/>
        <w:jc w:val="both"/>
        <w:rPr>
          <w:lang w:val="en-US"/>
        </w:rPr>
      </w:pPr>
    </w:p>
    <w:p w:rsidR="004F7AFD" w:rsidRPr="000D35D4" w:rsidRDefault="004F7AFD" w:rsidP="004F7AFD">
      <w:pPr>
        <w:spacing w:after="0"/>
        <w:jc w:val="both"/>
        <w:rPr>
          <w:lang w:val="en-US"/>
        </w:rPr>
      </w:pPr>
    </w:p>
    <w:p w:rsidR="004F7AFD" w:rsidRPr="000D35D4" w:rsidRDefault="004F7AFD" w:rsidP="004F7AFD">
      <w:pPr>
        <w:spacing w:after="0"/>
        <w:jc w:val="both"/>
        <w:rPr>
          <w:lang w:val="en-US"/>
        </w:rPr>
      </w:pPr>
    </w:p>
    <w:tbl>
      <w:tblPr>
        <w:tblStyle w:val="Documentstructuur"/>
        <w:tblW w:w="0" w:type="auto"/>
        <w:tblLayout w:type="fixed"/>
        <w:tblLook w:val="04A0" w:firstRow="1" w:lastRow="0" w:firstColumn="1" w:lastColumn="0" w:noHBand="0" w:noVBand="1"/>
      </w:tblPr>
      <w:tblGrid>
        <w:gridCol w:w="1809"/>
        <w:gridCol w:w="567"/>
        <w:gridCol w:w="1134"/>
        <w:gridCol w:w="993"/>
        <w:gridCol w:w="708"/>
        <w:gridCol w:w="709"/>
        <w:gridCol w:w="709"/>
        <w:gridCol w:w="709"/>
        <w:gridCol w:w="708"/>
        <w:gridCol w:w="1134"/>
      </w:tblGrid>
      <w:tr w:rsidR="004F7AFD" w:rsidRPr="007F78C3" w:rsidTr="004F7AFD">
        <w:trPr>
          <w:trHeight w:val="397"/>
        </w:trPr>
        <w:tc>
          <w:tcPr>
            <w:tcW w:w="9180" w:type="dxa"/>
            <w:gridSpan w:val="10"/>
            <w:vAlign w:val="center"/>
          </w:tcPr>
          <w:p w:rsidR="004F7AFD" w:rsidRPr="000D35D4" w:rsidRDefault="004F7AFD" w:rsidP="004F7AFD">
            <w:pPr>
              <w:rPr>
                <w:b/>
                <w:lang w:val="en-US"/>
              </w:rPr>
            </w:pPr>
            <w:r w:rsidRPr="000D35D4">
              <w:rPr>
                <w:b/>
                <w:lang w:val="en-US"/>
              </w:rPr>
              <w:lastRenderedPageBreak/>
              <w:t>Table 1: Outcomes on diagnostic accuracy of temperature for severe pancreatic fistula</w:t>
            </w:r>
          </w:p>
        </w:tc>
      </w:tr>
      <w:tr w:rsidR="004F7AFD" w:rsidRPr="000D35D4" w:rsidTr="004F7AFD">
        <w:trPr>
          <w:trHeight w:val="397"/>
        </w:trPr>
        <w:tc>
          <w:tcPr>
            <w:tcW w:w="1809" w:type="dxa"/>
            <w:vAlign w:val="center"/>
          </w:tcPr>
          <w:p w:rsidR="004F7AFD" w:rsidRPr="000D35D4" w:rsidRDefault="004F7AFD" w:rsidP="004F7AFD">
            <w:pPr>
              <w:rPr>
                <w:b/>
                <w:lang w:val="en-US"/>
              </w:rPr>
            </w:pPr>
            <w:r w:rsidRPr="000D35D4">
              <w:rPr>
                <w:b/>
                <w:lang w:val="en-US"/>
              </w:rPr>
              <w:t>Reference</w:t>
            </w:r>
          </w:p>
        </w:tc>
        <w:tc>
          <w:tcPr>
            <w:tcW w:w="567" w:type="dxa"/>
            <w:vAlign w:val="center"/>
          </w:tcPr>
          <w:p w:rsidR="004F7AFD" w:rsidRPr="000D35D4" w:rsidRDefault="004F7AFD" w:rsidP="004F7AFD">
            <w:pPr>
              <w:jc w:val="center"/>
              <w:rPr>
                <w:b/>
                <w:lang w:val="en-US"/>
              </w:rPr>
            </w:pPr>
            <w:r w:rsidRPr="000D35D4">
              <w:rPr>
                <w:b/>
                <w:lang w:val="en-US"/>
              </w:rPr>
              <w:t>N</w:t>
            </w:r>
          </w:p>
        </w:tc>
        <w:tc>
          <w:tcPr>
            <w:tcW w:w="1134" w:type="dxa"/>
            <w:vAlign w:val="center"/>
          </w:tcPr>
          <w:p w:rsidR="004F7AFD" w:rsidRPr="000D35D4" w:rsidRDefault="004F7AFD" w:rsidP="004F7AFD">
            <w:pPr>
              <w:jc w:val="center"/>
              <w:rPr>
                <w:b/>
                <w:lang w:val="en-US"/>
              </w:rPr>
            </w:pPr>
            <w:r w:rsidRPr="000D35D4">
              <w:rPr>
                <w:b/>
                <w:lang w:val="en-US"/>
              </w:rPr>
              <w:t>Severe PF</w:t>
            </w:r>
          </w:p>
        </w:tc>
        <w:tc>
          <w:tcPr>
            <w:tcW w:w="993" w:type="dxa"/>
            <w:vAlign w:val="center"/>
          </w:tcPr>
          <w:p w:rsidR="004F7AFD" w:rsidRPr="000D35D4" w:rsidRDefault="004F7AFD" w:rsidP="004F7AFD">
            <w:pPr>
              <w:jc w:val="center"/>
              <w:rPr>
                <w:b/>
                <w:lang w:val="en-US"/>
              </w:rPr>
            </w:pPr>
            <w:r w:rsidRPr="000D35D4">
              <w:rPr>
                <w:b/>
                <w:lang w:val="en-US"/>
              </w:rPr>
              <w:t>Cut-off</w:t>
            </w:r>
          </w:p>
        </w:tc>
        <w:tc>
          <w:tcPr>
            <w:tcW w:w="708" w:type="dxa"/>
            <w:vAlign w:val="center"/>
          </w:tcPr>
          <w:p w:rsidR="004F7AFD" w:rsidRPr="000D35D4" w:rsidRDefault="004F7AFD" w:rsidP="004F7AFD">
            <w:pPr>
              <w:jc w:val="center"/>
              <w:rPr>
                <w:b/>
                <w:lang w:val="en-US"/>
              </w:rPr>
            </w:pPr>
            <w:r w:rsidRPr="000D35D4">
              <w:rPr>
                <w:b/>
                <w:lang w:val="en-US"/>
              </w:rPr>
              <w:t>Day</w:t>
            </w:r>
          </w:p>
        </w:tc>
        <w:tc>
          <w:tcPr>
            <w:tcW w:w="709" w:type="dxa"/>
            <w:vAlign w:val="center"/>
          </w:tcPr>
          <w:p w:rsidR="004F7AFD" w:rsidRPr="000D35D4" w:rsidRDefault="004F7AFD" w:rsidP="004F7AFD">
            <w:pPr>
              <w:jc w:val="center"/>
              <w:rPr>
                <w:b/>
                <w:lang w:val="en-US"/>
              </w:rPr>
            </w:pPr>
            <w:r w:rsidRPr="000D35D4">
              <w:rPr>
                <w:b/>
                <w:lang w:val="en-US"/>
              </w:rPr>
              <w:t>Sens.</w:t>
            </w:r>
          </w:p>
        </w:tc>
        <w:tc>
          <w:tcPr>
            <w:tcW w:w="709" w:type="dxa"/>
            <w:vAlign w:val="center"/>
          </w:tcPr>
          <w:p w:rsidR="004F7AFD" w:rsidRPr="000D35D4" w:rsidRDefault="004F7AFD" w:rsidP="004F7AFD">
            <w:pPr>
              <w:jc w:val="center"/>
              <w:rPr>
                <w:b/>
                <w:lang w:val="en-US"/>
              </w:rPr>
            </w:pPr>
            <w:r w:rsidRPr="000D35D4">
              <w:rPr>
                <w:b/>
                <w:lang w:val="en-US"/>
              </w:rPr>
              <w:t>Spec.</w:t>
            </w:r>
          </w:p>
        </w:tc>
        <w:tc>
          <w:tcPr>
            <w:tcW w:w="709" w:type="dxa"/>
            <w:vAlign w:val="center"/>
          </w:tcPr>
          <w:p w:rsidR="004F7AFD" w:rsidRPr="000D35D4" w:rsidRDefault="004F7AFD" w:rsidP="004F7AFD">
            <w:pPr>
              <w:jc w:val="center"/>
              <w:rPr>
                <w:b/>
                <w:lang w:val="en-US"/>
              </w:rPr>
            </w:pPr>
            <w:r w:rsidRPr="000D35D4">
              <w:rPr>
                <w:b/>
                <w:lang w:val="en-US"/>
              </w:rPr>
              <w:t>PPV</w:t>
            </w:r>
          </w:p>
        </w:tc>
        <w:tc>
          <w:tcPr>
            <w:tcW w:w="708" w:type="dxa"/>
            <w:vAlign w:val="center"/>
          </w:tcPr>
          <w:p w:rsidR="004F7AFD" w:rsidRPr="000D35D4" w:rsidRDefault="004F7AFD" w:rsidP="004F7AFD">
            <w:pPr>
              <w:jc w:val="center"/>
              <w:rPr>
                <w:b/>
                <w:lang w:val="en-US"/>
              </w:rPr>
            </w:pPr>
            <w:r w:rsidRPr="000D35D4">
              <w:rPr>
                <w:b/>
                <w:lang w:val="en-US"/>
              </w:rPr>
              <w:t>NPV</w:t>
            </w:r>
          </w:p>
        </w:tc>
        <w:tc>
          <w:tcPr>
            <w:tcW w:w="1134" w:type="dxa"/>
            <w:vAlign w:val="center"/>
          </w:tcPr>
          <w:p w:rsidR="004F7AFD" w:rsidRPr="000D35D4" w:rsidRDefault="004F7AFD" w:rsidP="004F7AFD">
            <w:pPr>
              <w:jc w:val="center"/>
              <w:rPr>
                <w:b/>
                <w:lang w:val="en-US"/>
              </w:rPr>
            </w:pPr>
            <w:r w:rsidRPr="000D35D4">
              <w:rPr>
                <w:b/>
                <w:lang w:val="en-US"/>
              </w:rPr>
              <w:t>Accuracy</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Noji</w:t>
            </w:r>
            <w:proofErr w:type="spellEnd"/>
            <w:r w:rsidRPr="000D35D4">
              <w:rPr>
                <w:lang w:val="en-US"/>
              </w:rPr>
              <w:t xml:space="preserve"> 2011</w:t>
            </w:r>
            <w:r w:rsidRPr="000D35D4">
              <w:rPr>
                <w:lang w:val="en-US"/>
              </w:rPr>
              <w:fldChar w:fldCharType="begin" w:fldLock="1"/>
            </w:r>
            <w:r w:rsidR="00625C5F">
              <w:rPr>
                <w:lang w:val="en-US"/>
              </w:rPr>
              <w:instrText>ADDIN CSL_CITATION { "citationItems" : [ { "id" : "ITEM-1",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"ITEM-1",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"mendeley" : { "formattedCitation" : "[4]", "plainTextFormattedCitation" : "[4]", "previouslyFormattedCitation" : "&lt;sup&gt;4&lt;/sup&gt;" }, "properties" : {  }, "schema" : "https://github.com/citation-style-language/schema/raw/master/csl-citation.json" }</w:instrText>
            </w:r>
            <w:r w:rsidRPr="000D35D4">
              <w:rPr>
                <w:lang w:val="en-US"/>
              </w:rPr>
              <w:fldChar w:fldCharType="separate"/>
            </w:r>
            <w:r w:rsidR="00625C5F" w:rsidRPr="00625C5F">
              <w:rPr>
                <w:noProof/>
                <w:lang w:val="en-US"/>
              </w:rPr>
              <w:t>[4]</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58</w:t>
            </w:r>
          </w:p>
        </w:tc>
        <w:tc>
          <w:tcPr>
            <w:tcW w:w="1134" w:type="dxa"/>
            <w:vAlign w:val="center"/>
          </w:tcPr>
          <w:p w:rsidR="004F7AFD" w:rsidRPr="000D35D4" w:rsidRDefault="004F7AFD" w:rsidP="004F7AFD">
            <w:pPr>
              <w:jc w:val="center"/>
              <w:rPr>
                <w:lang w:val="en-US"/>
              </w:rPr>
            </w:pPr>
            <w:r w:rsidRPr="000D35D4">
              <w:rPr>
                <w:lang w:val="en-US"/>
              </w:rPr>
              <w:t>32</w:t>
            </w:r>
          </w:p>
        </w:tc>
        <w:tc>
          <w:tcPr>
            <w:tcW w:w="993" w:type="dxa"/>
            <w:vAlign w:val="center"/>
          </w:tcPr>
          <w:p w:rsidR="004F7AFD" w:rsidRPr="000D35D4" w:rsidRDefault="004F7AFD" w:rsidP="004F7AFD">
            <w:pPr>
              <w:jc w:val="center"/>
              <w:rPr>
                <w:lang w:val="en-US"/>
              </w:rPr>
            </w:pPr>
            <w:r w:rsidRPr="00B01CA9">
              <w:rPr>
                <w:lang w:val="en-US"/>
              </w:rPr>
              <w:t>38.0</w:t>
            </w:r>
            <w:r>
              <w:rPr>
                <w:lang w:val="en-US"/>
              </w:rPr>
              <w:t xml:space="preserve"> </w:t>
            </w:r>
            <w:r w:rsidRPr="00B01CA9">
              <w:rPr>
                <w:rFonts w:cs="Arial"/>
                <w:shd w:val="clear" w:color="auto" w:fill="FFFFFF"/>
                <w:lang w:val="en-US"/>
              </w:rPr>
              <w:t>ºC</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53</w:t>
            </w:r>
          </w:p>
        </w:tc>
        <w:tc>
          <w:tcPr>
            <w:tcW w:w="709" w:type="dxa"/>
            <w:vAlign w:val="center"/>
          </w:tcPr>
          <w:p w:rsidR="004F7AFD" w:rsidRPr="000D35D4" w:rsidRDefault="004F7AFD" w:rsidP="004F7AFD">
            <w:pPr>
              <w:jc w:val="center"/>
              <w:rPr>
                <w:lang w:val="en-US"/>
              </w:rPr>
            </w:pPr>
            <w:r w:rsidRPr="000D35D4">
              <w:rPr>
                <w:lang w:val="en-US"/>
              </w:rPr>
              <w:t>77</w:t>
            </w:r>
          </w:p>
        </w:tc>
        <w:tc>
          <w:tcPr>
            <w:tcW w:w="709" w:type="dxa"/>
            <w:vAlign w:val="center"/>
          </w:tcPr>
          <w:p w:rsidR="004F7AFD" w:rsidRPr="000D35D4" w:rsidRDefault="004F7AFD" w:rsidP="004F7AFD">
            <w:pPr>
              <w:jc w:val="center"/>
              <w:rPr>
                <w:lang w:val="en-US"/>
              </w:rPr>
            </w:pPr>
            <w:r w:rsidRPr="000D35D4">
              <w:rPr>
                <w:lang w:val="en-US"/>
              </w:rPr>
              <w:t>74</w:t>
            </w:r>
          </w:p>
        </w:tc>
        <w:tc>
          <w:tcPr>
            <w:tcW w:w="708" w:type="dxa"/>
            <w:vAlign w:val="center"/>
          </w:tcPr>
          <w:p w:rsidR="004F7AFD" w:rsidRPr="000D35D4" w:rsidRDefault="004F7AFD" w:rsidP="004F7AFD">
            <w:pPr>
              <w:jc w:val="center"/>
              <w:rPr>
                <w:lang w:val="en-US"/>
              </w:rPr>
            </w:pPr>
            <w:r w:rsidRPr="000D35D4">
              <w:rPr>
                <w:lang w:val="en-US"/>
              </w:rPr>
              <w:t>57</w:t>
            </w:r>
          </w:p>
        </w:tc>
        <w:tc>
          <w:tcPr>
            <w:tcW w:w="1134" w:type="dxa"/>
            <w:vAlign w:val="center"/>
          </w:tcPr>
          <w:p w:rsidR="004F7AFD" w:rsidRPr="000D35D4" w:rsidRDefault="004F7AFD" w:rsidP="004F7AFD">
            <w:pPr>
              <w:jc w:val="center"/>
              <w:rPr>
                <w:lang w:val="en-US"/>
              </w:rPr>
            </w:pPr>
            <w:r w:rsidRPr="000D35D4">
              <w:rPr>
                <w:lang w:val="en-US"/>
              </w:rPr>
              <w:t>64</w:t>
            </w:r>
          </w:p>
        </w:tc>
      </w:tr>
      <w:tr w:rsidR="004F7AFD" w:rsidRPr="000D35D4" w:rsidTr="004F7AFD">
        <w:trPr>
          <w:trHeight w:val="397"/>
        </w:trPr>
        <w:tc>
          <w:tcPr>
            <w:tcW w:w="1809" w:type="dxa"/>
            <w:vMerge w:val="restart"/>
            <w:vAlign w:val="center"/>
          </w:tcPr>
          <w:p w:rsidR="004F7AFD" w:rsidRPr="000D35D4" w:rsidRDefault="004F7AFD" w:rsidP="004F7AFD">
            <w:pPr>
              <w:rPr>
                <w:lang w:val="en-US"/>
              </w:rPr>
            </w:pPr>
            <w:proofErr w:type="spellStart"/>
            <w:r w:rsidRPr="000D35D4">
              <w:rPr>
                <w:lang w:val="en-US"/>
              </w:rPr>
              <w:t>Uemura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t>200</w:t>
            </w:r>
          </w:p>
        </w:tc>
        <w:tc>
          <w:tcPr>
            <w:tcW w:w="1134" w:type="dxa"/>
            <w:vMerge w:val="restart"/>
            <w:vAlign w:val="center"/>
          </w:tcPr>
          <w:p w:rsidR="004F7AFD" w:rsidRPr="000D35D4" w:rsidRDefault="004F7AFD" w:rsidP="004F7AFD">
            <w:pPr>
              <w:jc w:val="center"/>
              <w:rPr>
                <w:lang w:val="en-US"/>
              </w:rPr>
            </w:pPr>
            <w:r w:rsidRPr="000D35D4">
              <w:rPr>
                <w:lang w:val="en-US"/>
              </w:rPr>
              <w:t>15</w:t>
            </w:r>
          </w:p>
        </w:tc>
        <w:tc>
          <w:tcPr>
            <w:tcW w:w="993" w:type="dxa"/>
            <w:vAlign w:val="center"/>
          </w:tcPr>
          <w:p w:rsidR="004F7AFD" w:rsidRPr="000D35D4" w:rsidRDefault="004F7AFD" w:rsidP="004F7AFD">
            <w:pPr>
              <w:jc w:val="center"/>
              <w:rPr>
                <w:lang w:val="en-US"/>
              </w:rPr>
            </w:pPr>
            <w:r w:rsidRPr="00B01CA9">
              <w:rPr>
                <w:lang w:val="en-US"/>
              </w:rPr>
              <w:t>37.8</w:t>
            </w:r>
            <w:r w:rsidRPr="00B01CA9">
              <w:rPr>
                <w:rFonts w:cs="Arial"/>
                <w:shd w:val="clear" w:color="auto" w:fill="FFFFFF"/>
                <w:lang w:val="en-US"/>
              </w:rPr>
              <w:t xml:space="preserve"> ºC</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60</w:t>
            </w:r>
          </w:p>
        </w:tc>
        <w:tc>
          <w:tcPr>
            <w:tcW w:w="709" w:type="dxa"/>
            <w:vAlign w:val="center"/>
          </w:tcPr>
          <w:p w:rsidR="004F7AFD" w:rsidRPr="000D35D4" w:rsidRDefault="004F7AFD" w:rsidP="004F7AFD">
            <w:pPr>
              <w:jc w:val="center"/>
              <w:rPr>
                <w:lang w:val="en-US"/>
              </w:rPr>
            </w:pPr>
            <w:r w:rsidRPr="000D35D4">
              <w:rPr>
                <w:lang w:val="en-US"/>
              </w:rPr>
              <w:t>79</w:t>
            </w:r>
          </w:p>
        </w:tc>
        <w:tc>
          <w:tcPr>
            <w:tcW w:w="709" w:type="dxa"/>
            <w:vAlign w:val="center"/>
          </w:tcPr>
          <w:p w:rsidR="004F7AFD" w:rsidRPr="000D35D4" w:rsidRDefault="004F7AFD" w:rsidP="004F7AFD">
            <w:pPr>
              <w:jc w:val="center"/>
              <w:rPr>
                <w:lang w:val="en-US"/>
              </w:rPr>
            </w:pPr>
            <w:r w:rsidRPr="000D35D4">
              <w:rPr>
                <w:lang w:val="en-US"/>
              </w:rPr>
              <w:t>19</w:t>
            </w:r>
          </w:p>
        </w:tc>
        <w:tc>
          <w:tcPr>
            <w:tcW w:w="708" w:type="dxa"/>
            <w:vAlign w:val="center"/>
          </w:tcPr>
          <w:p w:rsidR="004F7AFD" w:rsidRPr="000D35D4" w:rsidRDefault="004F7AFD" w:rsidP="004F7AFD">
            <w:pPr>
              <w:jc w:val="center"/>
              <w:rPr>
                <w:lang w:val="en-US"/>
              </w:rPr>
            </w:pPr>
            <w:r w:rsidRPr="000D35D4">
              <w:rPr>
                <w:lang w:val="en-US"/>
              </w:rPr>
              <w:t>96</w:t>
            </w:r>
          </w:p>
        </w:tc>
        <w:tc>
          <w:tcPr>
            <w:tcW w:w="1134" w:type="dxa"/>
            <w:vAlign w:val="center"/>
          </w:tcPr>
          <w:p w:rsidR="004F7AFD" w:rsidRPr="000D35D4" w:rsidRDefault="004F7AFD" w:rsidP="004F7AFD">
            <w:pPr>
              <w:jc w:val="center"/>
              <w:rPr>
                <w:lang w:val="en-US"/>
              </w:rPr>
            </w:pPr>
            <w:r w:rsidRPr="000D35D4">
              <w:rPr>
                <w:lang w:val="en-US"/>
              </w:rPr>
              <w:t>75</w:t>
            </w:r>
          </w:p>
        </w:tc>
      </w:tr>
      <w:tr w:rsidR="004F7AFD" w:rsidRPr="000D35D4"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B01CA9">
              <w:rPr>
                <w:lang w:val="en-US"/>
              </w:rPr>
              <w:t>37.7</w:t>
            </w:r>
            <w:r>
              <w:rPr>
                <w:lang w:val="en-US"/>
              </w:rPr>
              <w:t xml:space="preserve"> </w:t>
            </w:r>
            <w:r w:rsidRPr="00B01CA9">
              <w:rPr>
                <w:rFonts w:cs="Arial"/>
                <w:shd w:val="clear" w:color="auto" w:fill="FFFFFF"/>
                <w:lang w:val="en-US"/>
              </w:rPr>
              <w:t>ºC</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53</w:t>
            </w:r>
          </w:p>
        </w:tc>
        <w:tc>
          <w:tcPr>
            <w:tcW w:w="709" w:type="dxa"/>
            <w:vAlign w:val="center"/>
          </w:tcPr>
          <w:p w:rsidR="004F7AFD" w:rsidRPr="000D35D4" w:rsidRDefault="004F7AFD" w:rsidP="004F7AFD">
            <w:pPr>
              <w:jc w:val="center"/>
              <w:rPr>
                <w:lang w:val="en-US"/>
              </w:rPr>
            </w:pPr>
            <w:r w:rsidRPr="000D35D4">
              <w:rPr>
                <w:lang w:val="en-US"/>
              </w:rPr>
              <w:t>88</w:t>
            </w:r>
          </w:p>
        </w:tc>
        <w:tc>
          <w:tcPr>
            <w:tcW w:w="709" w:type="dxa"/>
            <w:vAlign w:val="center"/>
          </w:tcPr>
          <w:p w:rsidR="004F7AFD" w:rsidRPr="000D35D4" w:rsidRDefault="004F7AFD" w:rsidP="004F7AFD">
            <w:pPr>
              <w:jc w:val="center"/>
              <w:rPr>
                <w:lang w:val="en-US"/>
              </w:rPr>
            </w:pPr>
            <w:r w:rsidRPr="000D35D4">
              <w:rPr>
                <w:lang w:val="en-US"/>
              </w:rPr>
              <w:t>37</w:t>
            </w:r>
          </w:p>
        </w:tc>
        <w:tc>
          <w:tcPr>
            <w:tcW w:w="708" w:type="dxa"/>
            <w:vAlign w:val="center"/>
          </w:tcPr>
          <w:p w:rsidR="004F7AFD" w:rsidRPr="000D35D4" w:rsidRDefault="004F7AFD" w:rsidP="004F7AFD">
            <w:pPr>
              <w:jc w:val="center"/>
              <w:rPr>
                <w:lang w:val="en-US"/>
              </w:rPr>
            </w:pPr>
            <w:r w:rsidRPr="000D35D4">
              <w:rPr>
                <w:lang w:val="en-US"/>
              </w:rPr>
              <w:t>96</w:t>
            </w:r>
          </w:p>
        </w:tc>
        <w:tc>
          <w:tcPr>
            <w:tcW w:w="1134" w:type="dxa"/>
            <w:vAlign w:val="center"/>
          </w:tcPr>
          <w:p w:rsidR="004F7AFD" w:rsidRPr="000D35D4" w:rsidRDefault="004F7AFD" w:rsidP="004F7AFD">
            <w:pPr>
              <w:jc w:val="center"/>
              <w:rPr>
                <w:lang w:val="en-US"/>
              </w:rPr>
            </w:pPr>
            <w:r w:rsidRPr="000D35D4">
              <w:rPr>
                <w:lang w:val="en-US"/>
              </w:rPr>
              <w:t>86</w:t>
            </w:r>
          </w:p>
        </w:tc>
      </w:tr>
      <w:tr w:rsidR="004F7AFD" w:rsidRPr="007F78C3"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Moskovic</w:t>
            </w:r>
            <w:proofErr w:type="spellEnd"/>
            <w:r w:rsidRPr="000D35D4">
              <w:rPr>
                <w:lang w:val="en-US"/>
              </w:rPr>
              <w:t xml:space="preserve"> 2010</w:t>
            </w:r>
            <w:r w:rsidRPr="000D35D4">
              <w:rPr>
                <w:lang w:val="en-US"/>
              </w:rPr>
              <w:fldChar w:fldCharType="begin" w:fldLock="1"/>
            </w:r>
            <w:r w:rsidR="00625C5F">
              <w:rPr>
                <w:lang w:val="en-US"/>
              </w:rPr>
              <w:instrText>ADDIN CSL_CITATION { "citationItems" : [ { "id" : "ITEM-1", "itemData" : { "DOI" : "10.1111/j.1477-2574.2010.00212.x", "ISSN" : "1365182X", "PMID" : "20815856", "abstract" : "BACKGROUND Post-operative pancreatic fistula (POPF) is a common and potentially devastating complication of pancreas resection. Management of this complication is important to the pancreas surgeon. OBJECTIVE The aim of the present study was to evaluate whether drain data accurately predicts clinically significant POPF. METHODS A prospectively maintained database with daily drain amylase concentrations and output volumes from 177 consecutive pancreatic resections was analysed. Drain data, demographic and operative data were correlated with POPF (ISGPF Grade: A--clinically silent, B--clinically evident, C--severe) to determine predictive factors. RESULTS Twenty-six (46.4%) out of 56 patients who underwent distal pancreatectomy and 52 (43.0%) out of 121 patients who underwent a Whipple procedure developed a POPF (Grade A-C). POPFs were classified as A (24, 42.9%) and C (2, 3.6%) after distal pancreatectomy whereas they were graded as A (35, 28.9%), B (15, 12.4%) and C (2, 1.7%) after Whipple procedures. Drain data analysis was limited to Whipple procedures because only two patients developed a clinically significant leak after distal pancreatectomy. The daily total drain output did not differ between patients with a clinical leak (Grades B/C) and patients without a clinical leak (no leak and Grade A) on post-operative day (POD) 1 to 7. Although the median amylase concentration was significantly higher in patients with a clinical leak on POD 1-6, there was no day that amylase concentration predicted a clinical leak better than simply classifying all patients as 'no leak' (maximum accuracy = 86.1% on POD 1, expected accuracy by chance = 85.6%, kappa = 10.2%). CONCLUSION Drain amylase data in the early post-operative period are not a sensitive or specific predictor of which patients will develop clinically significant POPF after pancreas resection.", "author" : [ { "dropping-particle" : "", "family" : "Moskovic", "given" : "Daniel J.", "non-dropping-particle" : "", "parse-names" : false, "suffix" : "" }, { "dropping-particle" : "", "family" : "Hodges", "given" : "Sally E.", "non-dropping-particle" : "", "parse-names" : false, "suffix" : "" }, { "dropping-particle" : "", "family" : "Wu", "given" : "Meng-Fen", "non-dropping-particle" : "", "parse-names" : false, "suffix" : "" }, { "dropping-particle" : "", "family" : "Brunicardi", "given" : "F. Charles", "non-dropping-particle" : "", "parse-names" : false, "suffix" : "" }, { "dropping-particle" : "", "family" : "Hilsenbeck", "given" : "Susan G.", "non-dropping-particle" : "", "parse-names" : false, "suffix" : "" }, { "dropping-particle" : "", "family" : "Fisher", "given" : "William E.", "non-dropping-particle" : "", "parse-names" : false, "suffix" : "" } ], "container-title" : "HPB", "id" : "ITEM-1", "issue" : "7", "issued" : { "date-parts" : [ [ "2010", "9" ] ] }, "page" : "472-481", "title" : "Drain data to predict clinically relevant pancreatic fistula", "type" : "article-journal", "volume" : "12" }, "uris" : [ "http://www.mendeley.com/documents/?uuid=d502b27a-4372-4f68-93a2-5c73bfa76aec" ] } ], "mendeley" : { "formattedCitation" : "[5]", "plainTextFormattedCitation" : "[5]", "previouslyFormattedCitation" : "&lt;sup&gt;5&lt;/sup&gt;" }, "properties" : {  }, "schema" : "https://github.com/citation-style-language/schema/raw/master/csl-citation.json" }</w:instrText>
            </w:r>
            <w:r w:rsidRPr="000D35D4">
              <w:rPr>
                <w:lang w:val="en-US"/>
              </w:rPr>
              <w:fldChar w:fldCharType="separate"/>
            </w:r>
            <w:r w:rsidR="00625C5F" w:rsidRPr="00625C5F">
              <w:rPr>
                <w:noProof/>
                <w:lang w:val="en-US"/>
              </w:rPr>
              <w:t>[5]</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177</w:t>
            </w:r>
          </w:p>
        </w:tc>
        <w:tc>
          <w:tcPr>
            <w:tcW w:w="1134" w:type="dxa"/>
            <w:vAlign w:val="center"/>
          </w:tcPr>
          <w:p w:rsidR="004F7AFD" w:rsidRPr="000D35D4" w:rsidRDefault="004F7AFD" w:rsidP="004F7AFD">
            <w:pPr>
              <w:jc w:val="center"/>
              <w:rPr>
                <w:lang w:val="en-US"/>
              </w:rPr>
            </w:pPr>
            <w:r w:rsidRPr="000D35D4">
              <w:rPr>
                <w:lang w:val="en-US"/>
              </w:rPr>
              <w:t>17</w:t>
            </w:r>
          </w:p>
        </w:tc>
        <w:tc>
          <w:tcPr>
            <w:tcW w:w="993" w:type="dxa"/>
            <w:vAlign w:val="center"/>
          </w:tcPr>
          <w:p w:rsidR="004F7AFD" w:rsidRPr="000D35D4" w:rsidRDefault="004F7AFD" w:rsidP="004F7AFD">
            <w:pPr>
              <w:jc w:val="center"/>
              <w:rPr>
                <w:lang w:val="en-US"/>
              </w:rPr>
            </w:pPr>
            <w:r w:rsidRPr="00B01CA9">
              <w:rPr>
                <w:lang w:val="en-US"/>
              </w:rPr>
              <w:t>38.6</w:t>
            </w:r>
            <w:r>
              <w:rPr>
                <w:lang w:val="en-US"/>
              </w:rPr>
              <w:t xml:space="preserve"> </w:t>
            </w:r>
            <w:r w:rsidRPr="00B01CA9">
              <w:rPr>
                <w:rFonts w:cs="Arial"/>
                <w:shd w:val="clear" w:color="auto" w:fill="FFFFFF"/>
                <w:lang w:val="en-US"/>
              </w:rPr>
              <w:t>ºC</w:t>
            </w:r>
          </w:p>
        </w:tc>
        <w:tc>
          <w:tcPr>
            <w:tcW w:w="708" w:type="dxa"/>
            <w:vAlign w:val="center"/>
          </w:tcPr>
          <w:p w:rsidR="004F7AFD" w:rsidRPr="000D35D4" w:rsidRDefault="004F7AFD" w:rsidP="004F7AFD">
            <w:pPr>
              <w:jc w:val="center"/>
              <w:rPr>
                <w:lang w:val="en-US"/>
              </w:rPr>
            </w:pPr>
            <w:r w:rsidRPr="000D35D4">
              <w:rPr>
                <w:lang w:val="en-US"/>
              </w:rPr>
              <w:t>Any</w:t>
            </w:r>
          </w:p>
        </w:tc>
        <w:tc>
          <w:tcPr>
            <w:tcW w:w="709" w:type="dxa"/>
            <w:vAlign w:val="center"/>
          </w:tcPr>
          <w:p w:rsidR="004F7AFD" w:rsidRPr="000D35D4" w:rsidRDefault="004F7AFD" w:rsidP="004F7AFD">
            <w:pPr>
              <w:jc w:val="center"/>
              <w:rPr>
                <w:lang w:val="en-US"/>
              </w:rPr>
            </w:pPr>
            <w:r w:rsidRPr="000D35D4">
              <w:rPr>
                <w:lang w:val="en-US"/>
              </w:rPr>
              <w:t>18</w:t>
            </w:r>
          </w:p>
        </w:tc>
        <w:tc>
          <w:tcPr>
            <w:tcW w:w="709" w:type="dxa"/>
            <w:vAlign w:val="center"/>
          </w:tcPr>
          <w:p w:rsidR="004F7AFD" w:rsidRPr="000D35D4" w:rsidRDefault="004F7AFD" w:rsidP="004F7AFD">
            <w:pPr>
              <w:jc w:val="center"/>
              <w:rPr>
                <w:lang w:val="en-US"/>
              </w:rPr>
            </w:pPr>
            <w:r w:rsidRPr="000D35D4">
              <w:rPr>
                <w:lang w:val="en-US"/>
              </w:rPr>
              <w:t>97</w:t>
            </w:r>
          </w:p>
        </w:tc>
        <w:tc>
          <w:tcPr>
            <w:tcW w:w="709" w:type="dxa"/>
            <w:vAlign w:val="center"/>
          </w:tcPr>
          <w:p w:rsidR="004F7AFD" w:rsidRPr="000D35D4" w:rsidRDefault="004F7AFD" w:rsidP="004F7AFD">
            <w:pPr>
              <w:jc w:val="center"/>
              <w:rPr>
                <w:lang w:val="en-US"/>
              </w:rPr>
            </w:pPr>
            <w:r w:rsidRPr="000D35D4">
              <w:rPr>
                <w:lang w:val="en-US"/>
              </w:rPr>
              <w:t>50</w:t>
            </w:r>
          </w:p>
        </w:tc>
        <w:tc>
          <w:tcPr>
            <w:tcW w:w="708" w:type="dxa"/>
            <w:vAlign w:val="center"/>
          </w:tcPr>
          <w:p w:rsidR="004F7AFD" w:rsidRPr="000D35D4" w:rsidRDefault="004F7AFD" w:rsidP="004F7AFD">
            <w:pPr>
              <w:jc w:val="center"/>
              <w:rPr>
                <w:lang w:val="en-US"/>
              </w:rPr>
            </w:pPr>
            <w:r w:rsidRPr="000D35D4">
              <w:rPr>
                <w:lang w:val="en-US"/>
              </w:rPr>
              <w:t>88</w:t>
            </w:r>
          </w:p>
        </w:tc>
        <w:tc>
          <w:tcPr>
            <w:tcW w:w="1134" w:type="dxa"/>
            <w:vAlign w:val="center"/>
          </w:tcPr>
          <w:p w:rsidR="004F7AFD" w:rsidRPr="000D35D4" w:rsidRDefault="004F7AFD" w:rsidP="004F7AFD">
            <w:pPr>
              <w:jc w:val="center"/>
              <w:rPr>
                <w:lang w:val="en-US"/>
              </w:rPr>
            </w:pPr>
            <w:r w:rsidRPr="000D35D4">
              <w:rPr>
                <w:lang w:val="en-US"/>
              </w:rPr>
              <w:t>86</w:t>
            </w:r>
          </w:p>
        </w:tc>
      </w:tr>
      <w:tr w:rsidR="004F7AFD" w:rsidRPr="004F7AFD" w:rsidTr="004F7AFD">
        <w:trPr>
          <w:trHeight w:val="340"/>
        </w:trPr>
        <w:tc>
          <w:tcPr>
            <w:tcW w:w="9180" w:type="dxa"/>
            <w:gridSpan w:val="10"/>
            <w:vAlign w:val="center"/>
          </w:tcPr>
          <w:p w:rsidR="004F7AFD" w:rsidRPr="000D35D4" w:rsidRDefault="004F7AFD" w:rsidP="004F7AFD">
            <w:pPr>
              <w:rPr>
                <w:i/>
                <w:sz w:val="20"/>
                <w:lang w:val="en-US"/>
              </w:rPr>
            </w:pPr>
            <w:r w:rsidRPr="000D35D4">
              <w:rPr>
                <w:i/>
                <w:sz w:val="20"/>
                <w:lang w:val="en-US"/>
              </w:rPr>
              <w:t xml:space="preserve">N, total number of patients included in analysis; severe PF, severe pancreatic fistula (i.e. ISGPS grade B/C); Day, postoperative day; </w:t>
            </w:r>
            <w:proofErr w:type="spellStart"/>
            <w:r w:rsidRPr="000D35D4">
              <w:rPr>
                <w:i/>
                <w:sz w:val="20"/>
                <w:lang w:val="en-US"/>
              </w:rPr>
              <w:t>sens.</w:t>
            </w:r>
            <w:proofErr w:type="spellEnd"/>
            <w:r w:rsidRPr="000D35D4">
              <w:rPr>
                <w:i/>
                <w:sz w:val="20"/>
                <w:lang w:val="en-US"/>
              </w:rPr>
              <w:t xml:space="preserve">, sensitivity; spec., specificity; PPV, positive predictive value; NPV, negative predictive value; Accuracy was calculated by dividing number of correct assessments by total number of assessments. The study by </w:t>
            </w:r>
            <w:proofErr w:type="spellStart"/>
            <w:r w:rsidRPr="000D35D4">
              <w:rPr>
                <w:i/>
                <w:sz w:val="20"/>
                <w:lang w:val="en-US"/>
              </w:rPr>
              <w:t>Uemura</w:t>
            </w:r>
            <w:proofErr w:type="spellEnd"/>
            <w:r w:rsidRPr="000D35D4">
              <w:rPr>
                <w:i/>
                <w:sz w:val="20"/>
                <w:lang w:val="en-US"/>
              </w:rPr>
              <w:t xml:space="preserve"> et al</w:t>
            </w:r>
            <w:r>
              <w:rPr>
                <w:i/>
                <w:sz w:val="20"/>
                <w:lang w:val="en-US"/>
              </w:rPr>
              <w:t>.</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r w:rsidRPr="000D35D4">
              <w:rPr>
                <w:i/>
                <w:sz w:val="20"/>
                <w:lang w:val="en-US"/>
              </w:rPr>
              <w:t xml:space="preserve"> evaluated two cut off points on different postoperative days. </w:t>
            </w:r>
          </w:p>
        </w:tc>
      </w:tr>
    </w:tbl>
    <w:p w:rsidR="004F7AFD" w:rsidRPr="000D35D4" w:rsidRDefault="004F7AFD" w:rsidP="004F7AFD">
      <w:pPr>
        <w:spacing w:after="0"/>
        <w:rPr>
          <w:lang w:val="en-US"/>
        </w:rPr>
      </w:pPr>
    </w:p>
    <w:p w:rsidR="004F7AFD" w:rsidRPr="000D35D4" w:rsidRDefault="004F7AFD" w:rsidP="004F7AFD">
      <w:pPr>
        <w:spacing w:after="0"/>
        <w:rPr>
          <w:lang w:val="en-US"/>
        </w:rPr>
      </w:pPr>
      <w:r w:rsidRPr="000D35D4">
        <w:rPr>
          <w:lang w:val="en-US"/>
        </w:rPr>
        <w:t>For the heterogeneity of proposed cut-offs, outcomes were not pooled. The decision on cut-off included in the algorithm was a combination of the upper limit as reported in the literature, in which a temperature of &gt;38.5</w:t>
      </w:r>
      <w:r w:rsidRPr="000D35D4">
        <w:rPr>
          <w:rFonts w:cs="Arial"/>
          <w:shd w:val="clear" w:color="auto" w:fill="FFFFFF"/>
          <w:lang w:val="en-US"/>
        </w:rPr>
        <w:t xml:space="preserve">ºC is considered fever. </w:t>
      </w:r>
    </w:p>
    <w:p w:rsidR="004F7AFD" w:rsidRPr="000D35D4" w:rsidRDefault="004F7AFD" w:rsidP="004F7AFD">
      <w:pPr>
        <w:spacing w:after="0"/>
        <w:rPr>
          <w:lang w:val="en-US"/>
        </w:rPr>
      </w:pPr>
    </w:p>
    <w:p w:rsidR="004F7AFD" w:rsidRPr="000D35D4" w:rsidRDefault="004F7AFD" w:rsidP="004F7AFD">
      <w:pPr>
        <w:spacing w:after="0"/>
        <w:rPr>
          <w:i/>
          <w:lang w:val="en-US"/>
        </w:rPr>
      </w:pPr>
      <w:r w:rsidRPr="000D35D4">
        <w:rPr>
          <w:i/>
          <w:lang w:val="en-US"/>
        </w:rPr>
        <w:t>C-Reactive Protein [CRP]</w:t>
      </w:r>
    </w:p>
    <w:p w:rsidR="004F7AFD" w:rsidRPr="000D35D4" w:rsidRDefault="004F7AFD" w:rsidP="004F7AFD">
      <w:pPr>
        <w:spacing w:after="0"/>
        <w:rPr>
          <w:lang w:val="en-US"/>
        </w:rPr>
      </w:pPr>
      <w:r w:rsidRPr="000D35D4">
        <w:rPr>
          <w:lang w:val="en-US"/>
        </w:rPr>
        <w:t>The association between elevation in CRP levels after pancreatic resection and severe postoperative pancreatic fistula was evaluated in 8 studies on a total of 1605 patients</w:t>
      </w:r>
      <w:r w:rsidRPr="000D35D4">
        <w:rPr>
          <w:lang w:val="en-US"/>
        </w:rPr>
        <w:fldChar w:fldCharType="begin" w:fldLock="1"/>
      </w:r>
      <w:r w:rsidR="00625C5F">
        <w:rPr>
          <w:lang w:val="en-US"/>
        </w:rPr>
        <w:instrText>ADDIN CSL_CITATION { "citationItems" : [ { "id" : "ITEM-1", "itemData" : { "DOI" : "10.1007/s11605-016-3171-6", "PMID" : "27206502", "abstract" : "BACKGROUND The association between postoperative inflammatory markers and risk of complications after pancreaticoduodenectomy (PD) is controversial. We sought to assess the diagnostic value of perioperative C-reactive protein (CRP) and procalcitonin (PCT) levels in the early identification of patients at risk for complications after PD. METHODS In 2014, 84 patients undergoing elective PD were enrolled in a prospective database. Clinicopathological characteristics, CRP and PCT, as well as short-term outcomes, such as complications and pancreatic fistula, were analyzed. Complications and pancreatic fistula were defined based on the Clavien-Dindo classification and the International Study Group on Pancreatic Fistula (ISGPF) classification, respectively. High CRP and PCT were classified using cut-off values based on ROC curve analysis. RESULTS The majority (73.8\u00a0%) of patients had pancreatic adenocarcinoma. CRP and PCT levels over the first 5 postoperative days (POD) were higher among patients who experienced a complication versus those who did not (p\u2009&lt;\u20090.001). Postoperative CRP and PCT levels were also higher among patients who developed a grade B or C pancreatic fistula (p\u2009&lt;\u20090.05). A CRP concentration &gt;84\u00a0mg/l on POD 1 (AUC 0.77) and &gt;127\u00a0mg/l on POD 3 (AUC 0.79) was associated with the highest risk of overall complications (OR 6.86 and 9.0, respectively; both p\u2009&lt;\u20090.001). Similarly patients with PCT &gt;0.7\u00a0mg/dl on POD 1 (AUC 0.67) were at higher risk of developing a postoperative complication (OR 3.33; p\u2009=\u20090.024). On POD 1, a CRP &gt;92\u00a0mg/l (AUC 0.72) and a PCT &gt;0.4\u00a0mg/dl (AUC 0.70) were associated with the highest risk of pancreatic fistula (OR 5.63 and 5.62, respectively; both p\u2009&lt;\u20090.05). CONCLUSIONS CRP and PCT concentration were associated with an increased risk of developing complications and clinical relevant pancreatic fistula after PD. Use of these biomarkers may help identify those patients at highest risk for perioperative morbidity and help guide postoperative management of patients undergoing PD.", "author" : [ { "dropping-particle" : "", "family" : "Giardino", "given" : "A", "non-dropping-particle" : "", "parse-names" : false, "suffix" : "" }, { "dropping-particle" : "", "family" : "Spolverato", "given" : "G", "non-dropping-particle" : "", "parse-names" : false, "suffix" : "" }, { "dropping-particle" : "", "family" : "Regi", "given" : "P", "non-dropping-particle" : "", "parse-names" : false, "suffix" : "" }, { "dropping-particle" : "", "family" : "Frigerio", "given" : "I", "non-dropping-particle" : "", "parse-names" : false, "suffix" : "" }, { "dropping-particle" : "", "family" : "Scopelliti", "given" : "F", "non-dropping-particle" : "", "parse-names" : false, "suffix" : "" }, { "dropping-particle" : "", "family" : "Girelli", "given" : "R", "non-dropping-particle" : "", "parse-names" : false, "suffix" : "" }, { "dropping-particle" : "", "family" : "Pawlik", "given" : "Z", "non-dropping-particle" : "", "parse-names" : false, "suffix" : "" }, { "dropping-particle" : "", "family" : "Pederzoli", "given" : "P", "non-dropping-particle" : "", "parse-names" : false, "suffix" : "" }, { "dropping-particle" : "", "family" : "Bassi", "given" : "C", "non-dropping-particle" : "", "parse-names" : false, "suffix" : "" }, { "dropping-particle" : "", "family" : "Butturini", "given" : "G", "non-dropping-particle" : "", "parse-names" : false, "suffix" : "" } ], "container-title" : "Journal of gastrointestinal surgery : official journal of the Society for Surgery of the Alimentary Tract", "id" : "ITEM-1", "issue" : "8", "issued" : { "date-parts" : [ [ "2016", "8", "20" ] ] }, "page" : "1482-92", "title" : "C-Reactive Protein and Procalcitonin as Predictors of Postoperative Inflammatory Complications After Pancreatic Surgery.", "type" : "article-journal", "volume" : "20" }, "uris" : [ "http://www.mendeley.com/documents/?uuid=1d8773ff-416b-31eb-9a55-f39a0b76dfff" ] }, { "id" : "ITEM-2",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"ITEM-2",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"id" : "ITEM-3", "itemData" : { "PMID" : "25550594", "abstract" : "OBJECTIVES Despite improvements in surgical techniques, instruments and perioperative management, postoperative pancreatic fistula (POPF) remains a serious complication after pancreaticoduodenectomy. The aim of the present study was to characterize a high-risk group for POPF after pancreaticoduodenectomy using perioperative clinical variables of patients. PATIENTS AND METHODS This retrospective study comprised of 247 patients who had undergone pancreaticoduodenectomy between May 2000 and May 2013. Perioperative risk factors pertinent to development of POPF were investigated using univariate and multivariate analyses. RESULTS POPF developed in 43 out of 247 patients (17.4 %). In univariate analysis, male gender (p=0.005), higher postoperative serum amylase (p=0.025) and lower postoperative serum albumin (p=0.041) were significant risk factors for POPF. In multivariate analysis, male gender (p=0.008) and lower postoperative serum albumin (p=0.010) were found to be independent risk factors. CONCLUSION Male gender and postoperative lower serum albumin were associated with the development of POPF after pancreaticoduodenectomy.", "author" : [ { "dropping-particle" : "", "family" : "Fujiwara", "given" : "Yuki", "non-dropping-particle" : "", "parse-names" : false, "suffix" : "" }, { "dropping-particle" : "", "family" : "Shiba", "given" : "Hiroaki", "non-dropping-particle" : "", "parse-names" : false, "suffix" : "" }, { "dropping-particle" : "", "family" : "Shirai", "given" : "Yoshihiro", "non-dropping-particle" : "", "parse-names" : false, "suffix" : "" }, { "dropping-particle" : "", "family" : "Iwase", "given" : "Ryota", "non-dropping-particle" : "", "parse-names" : false, "suffix" : "" }, { "dropping-particle" : "", "family" : "Haruki", "given" : "Koichiro", "non-dropping-particle" : "", "parse-names" : false, "suffix" : "" }, { "dropping-particle" : "", "family" : "Furukawa", "given" : "Kenei", "non-dropping-particle" : "", "parse-names" : false, "suffix" : "" }, { "dropping-particle" : "", "family" : "Futagawa", "given" : "Yasuro", "non-dropping-particle" : "", "parse-names" : false, "suffix" : "" }, { "dropping-particle" : "", "family" : "Misawa", "given" : "Takeyuki", "non-dropping-particle" : "", "parse-names" : false, "suffix" : "" }, { "dropping-particle" : "", "family" : "Yanaga", "given" : "Katsuhiko", "non-dropping-particle" : "", "parse-names" : false, "suffix" : "" } ], "container-title" : "Anticancer research", "id" : "ITEM-3", "issue" : "1", "issued" : { "date-parts" : [ [ "2015", "1" ] ] }, "page" : "499-503", "title" : "Perioperative serum albumin correlates with postoperative pancreatic fistula after pancreaticoduodenectomy.", "type" : "article-journal", "volume" : "35" }, "uris" : [ "http://www.mendeley.com/documents/?uuid=98dfbc15-95d7-37ae-aa24-50bea651122a" ] }, { "id" : "ITEM-4", "itemData" : { "DOI" : "10.1097/MPA.0000000000000691", "PMID" : "27518469", "abstract" : "OBJECTIVES Postoperative pancreatic fistula (POPF) is a life-threatening complication after pancreaticoduodenectomy (PD). The aim of this study is to evaluate the significance of pancreatic amylase level of pancreatic juice for PF after PD. METHODS The subjects were 46 patients who underwent PD between January 2012 and August 2015 at Jikei University Hospital. We retrospectively investigated the relation between patient characteristics including pancreatic amylase level of pancreatic juice through the pancreatic drainage tube and the incidence of POPF (grade B or grade C according to the International Study Group on the Pancreatic Fistula) using univariate and multivariate analyses. The decline of pancreatic amylase level of pancreatic juice was evaluated by 1 - postoperative day 3/postoperative day 1 ratio. RESULTS In univariate analysis, nonductal adenocarcinoma (P = 0.0252), soft pancreatic remnant (P = 0.0155), and decline of pancreatic amylase level of pancreatic juice \u2265 80% (P = 0.0010) were significant predictors of POPF. In multivariate analysis, decline of pancreatic amylase level of pancreatic juice of 80% or greater (P = 0.0192) was the only significant independent parameter. CONCLUSIONS Decline of pancreatic amylase level of pancreatic juice can predict POPF after PD.", "author" : [ { "dropping-particle" : "", "family" : "Furukawa", "given" : "Kenei", "non-dropping-particle" : "", "parse-names" : false, "suffix" : "" }, { "dropping-particle" : "", "family" : "Gocho", "given" : "Takeshi", "non-dropping-particle" : "", "parse-names" : false, "suffix" : "" }, { "dropping-particle" : "", "family" : "Shirai", "given" : "Yoshihiro", "non-dropping-particle" : "", "parse-names" : false, "suffix" : "" }, { "dropping-particle" : "", "family" : "Iwase", "given" : "Ryota", "non-dropping-particle" : "", "parse-names" : false, "suffix" : "" }, { "dropping-particle" : "", "family" : "Haruki", "given" : "Koichiro", "non-dropping-particle" : "", "parse-names" : false, "suffix" : "" }, { "dropping-particle" : "", "family" : "Fujiwara", "given" : "Yuki", "non-dropping-particle" : "", "parse-names" : false, "suffix" : "" }, { "dropping-particle" : "", "family" : "Shiba", "given" : "Hiroaki", "non-dropping-particle" : "", "parse-names" : false, "suffix" : "" }, { "dropping-particle" : "", "family" : "Misawa", "given" : "Takeyuki", "non-dropping-particle" : "", "parse-names" : false, "suffix" : "" }, { "dropping-particle" : "", "family" : "Yanaga", "given" : "Katsuhiko", "non-dropping-particle" : "", "parse-names" : false, "suffix" : "" } ], "container-title" : "Pancreas", "id" : "ITEM-4", "issue" : "10", "issued" : { "date-parts" : [ [ "2016", "11" ] ] }, "page" : "1474-1477", "title" : "The Decline of Amylase Level of Pancreatic Juice After Pancreaticoduodenectomy Predicts Postoperative Pancreatic Fistula.", "type" : "article-journal", "volume" : "45" }, "uris" : [ "http://www.mendeley.com/documents/?uuid=0039e0ef-41a6-3968-98d6-67a68a16f0e4" ] }, { "id" : "ITEM-5",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"ITEM-5", "issue" : "7", "issued" : { "date-parts" : [ [ "2014", "6" ] ] }, "page" : "702-707", "title" : "Indicators for proper management of surgical drains following pancreaticoduodenectomy", "type" : "article-journal", "volume" : "109" }, "uris" : [ "http://www.mendeley.com/documents/?uuid=87c49819-d860-320e-8b01-3180c8f587af" ] }, { "id" : "ITEM-6", "itemData" : { "DOI" : "10.1111/hpb.12184", "ISSN" : "14772574", "PMID" : "24246024", "abstract" : "OBJECTIVES: Drainage after pancreaticoduodenectomy (PD) remains controversial because the risk for uncontrolled postoperative pancreatic fistula (POPF) must be balanced against the potential morbidity associated with prolonged and possibly unnecessary drainage. This study investigated the utility of the level of serum amylase on the night of surgery [postoperative day (PoD) 0 serum amylase] to predict POPF.\\n\\nMETHODS: A total of 185 patients who underwent PD were studied. Occurrences of POPF were graded using the International Study Group on Pancreatic Fistula (ISGPF) classification. Receiver operating characteristic (ROC) analysis identified a threshold value of PoD 0 serum amylase associated with clinically significant POPF (ISGPF Grades B and C) in a test cohort (n = 45). The accuracy of this threshold value was then tested in a validation cohort (n = 140).\\n\\nRESULTS: Overall, 43 (23.2%) patients developed clinically significant POPF. The threshold value of PoD 0 serum amylase for the identification of clinically significant POPF was \u2265 130 IU/l (P = 0.003). Serum amylase of &lt;130 IU/l had a negative predictive value of 88.8% for clinically significant POPF (P &lt; 0.001). Serum amylase of \u2265 130 IU/l on PoD 0 and a soft pancreatic parenchyma were independent risk factors for clinically significant POPF.\\n\\nCONCLUSIONS: Postoperative day 0 serum amylase of &lt;130 IU/l allows for the early and accurate categorization of patients at least risk for clinically significant POPF and may identify patients suitable for early drain removal.", "author" : [ { "dropping-particle" : "", "family" : "Palani Velu", "given" : "Lavanniya K.", "non-dropping-particle" : "", "parse-names" : false, "suffix" : "" }, { "dropping-particle" : "V.", "family" : "Chandrabalan", "given" : "Vishnu", "non-dropping-particle" : "", "parse-names" : false, "suffix" : "" }, { "dropping-particle" : "", "family" : "Jabbar", "given" : "Salman", "non-dropping-particle" : "", "parse-names" : false, "suffix" : "" }, { "dropping-particle" : "", "family" : "McMillan", "given" : "Donald C.", "non-dropping-particle" : "", "parse-names" : false, "suffix" : "" }, { "dropping-particle" : "", "family" : "McKay", "given" : "Colin J.", "non-dropping-particle" : "", "parse-names" : false, "suffix" : "" }, { "dropping-particle" : "", "family" : "Carter", "given" : "C. Ross", "non-dropping-particle" : "", "parse-names" : false, "suffix" : "" }, { "dropping-particle" : "", "family" : "Jamieson", "given" : "Nigel B.", "non-dropping-particle" : "", "parse-names" : false, "suffix" : "" }, { "dropping-particle" : "", "family" : "Dickson", "given" : "Euan J.", "non-dropping-particle" : "", "parse-names" : false, "suffix" : "" } ], "container-title" : "HPB", "id" : "ITEM-6", "issue" : "7", "issued" : { "date-parts" : [ [ "2014" ] ] }, "page" : "610-619", "title" : "Serum amylase on the night of surgery predicts clinically significant pancreatic fistula after pancreaticoduodenectomy", "type" : "article-journal", "volume" : "16" }, "uris" : [ "http://www.mendeley.com/documents/?uuid=f62070a4-497a-417b-a6ef-0b343e9bb010" ] }, { "id" : "ITEM-7", "itemData" : { "DOI" : "10.1002/bjs.9362", "ISSN" : "00071323", "PMID" : "24306817", "abstract" : "ACKGROUND: The use of prophylactic abdominal drainage following pancreaticoduodenectomy (PD) is controversial as its therapeutic value is uncertain. However, the diagnosis of postoperative pancreatic fistula (POPF), the main cause of PD-associated morbidity, is often based on drain pancreatic amylase (DPA) levels. The aim of this study was to assess the predictive value of DPA, plasma pancreatic amylase (PPA) and serum C-reactive protein (CRP) for diagnosing POPF after PD. METHODS: Patients undergoing PD with prophylactic drainage between 2008 and 2012 were studied prospectively. DPA, PPA and CRP levels were obtained daily. Differences between groups with clinically relevant POPF (International Study Group on Pancreatic Fistula (ISGPF) grade B/C) and without clinically relevant POPF (no POPF or ISGPF grade A) were evaluated. Receiver operating characteristic (ROC) analyses were performed to determine the value of DPA, PPA and CRP in prediction of POPF. Risk profiles for clinically relevant POPF were constructed and related to the intraoperative pancreatic risk assessment. RESULTS: Fifty-nine (18.7 per cent) of 315 patients developed clinically relevant POPF. DPA, PPA and CRP levels on postoperative day (POD) 1-3 differed significantly between the study groups. In predicting POPF, the DPA level on POD 1 (cut-off at 1322 units/l; odds ratio (OR) 24.61, 95 per cent confidence interval 11.55 to 52.42) and POD 2 (cut-off at 314 units/l; OR 35.45, 14.07 to 89.33) was superior to that of PPA on POD 1 (cut-off at 177 units/l; OR 13.67, 6.46 to 28.94) and POD 2 (cut-off at 98 units/l; OR 16.97, 8.33 to 34.59). When DPA was combined with CRP (cut-off on POD 3 at 202 mg/l; OR 16.98, 8.43 to 34.21), 90.3 per cent of postoperative courses could be predicted correctly (OR 44.14, 16.89 to 115.38). CONCLUSION: The combination of serum CRP and DPA adequately predicted the development of clinically relevant pancreatic fistula following PD.", "author" : [ { "dropping-particle" : "", "family" : "Ansorge", "given" : "C.", "non-dropping-particle" : "", "parse-names" : false, "suffix" : "" }, { "dropping-particle" : "", "family" : "Nordin", "given" : "J. Z.", "non-dropping-particle" : "", "parse-names" : false, "suffix" : "" }, { "dropping-particle" : "", "family" : "Lundell", "given" : "L.", "non-dropping-particle" : "", "parse-names" : false, "suffix" : "" }, { "dropping-particle" : "", "family" : "Str\u00f6mmer", "given" : "L.", "non-dropping-particle" : "", "parse-names" : false, "suffix" : "" }, { "dropping-particle" : "", "family" : "Rangelova", "given" : "E.", "non-dropping-particle" : "", "parse-names" : false, "suffix" : "" }, { "dropping-particle" : "", "family" : "Blomberg", "given" : "J.", "non-dropping-particle" : "", "parse-names" : false, "suffix" : "" }, { "dropping-particle" : "", "family" : "Chiaro", "given" : "M.", "non-dropping-particle" : "del", "parse-names" : false, "suffix" : "" }, { "dropping-particle" : "", "family" : "Segersv\u00e4rd", "given" : "R.", "non-dropping-particle" : "", "parse-names" : false, "suffix" : "" } ], "container-title" : "British Journal of Surgery", "id" : "ITEM-7", "issue" : "2", "issued" : { "date-parts" : [ [ "2014", "1" ] ] }, "page" : "100-108", "title" : "Diagnostic value of abdominal drainage in individual risk assessment of pancreatic fistula following pancreaticoduodenectomy", "type" : "article-journal", "volume" : "101" }, "uris" : [ "http://www.mendeley.com/documents/?uuid=aeba12b3-8347-40e0-b303-ecee9bb6fc99" ] }, { "id" : "ITEM-8", "itemData" : { "id" : "ITEM-8", "issued" : { "date-parts" : [ [ "0" ] ] }, "title" : "Solaini - inflammatory markers in early detection of postoperative inflammatory complications - Int J Surg 2015", "type" : "article" }, "uris" : [ "http://www.mendeley.com/documents/?uuid=50ac6e57-aecc-4423-9f07-7d6ab3230d9c" ] } ], "mendeley" : { "formattedCitation" : "[6\u201313]", "plainTextFormattedCitation" : "[6\u201313]", "previouslyFormattedCitation" : "&lt;sup&gt;6\u201313&lt;/sup&gt;" }, "properties" : {  }, "schema" : "https://github.com/citation-style-language/schema/raw/master/csl-citation.json" }</w:instrText>
      </w:r>
      <w:r w:rsidRPr="000D35D4">
        <w:rPr>
          <w:lang w:val="en-US"/>
        </w:rPr>
        <w:fldChar w:fldCharType="separate"/>
      </w:r>
      <w:r w:rsidR="00625C5F" w:rsidRPr="00625C5F">
        <w:rPr>
          <w:noProof/>
          <w:lang w:val="en-US"/>
        </w:rPr>
        <w:t>[6–13]</w:t>
      </w:r>
      <w:r w:rsidRPr="000D35D4">
        <w:rPr>
          <w:lang w:val="en-US"/>
        </w:rPr>
        <w:fldChar w:fldCharType="end"/>
      </w:r>
      <w:r w:rsidRPr="000D35D4">
        <w:rPr>
          <w:lang w:val="en-US"/>
        </w:rPr>
        <w:t>. Proposed cut-offs are spread widely, all outcomes of these studies are provided in the table below.</w:t>
      </w:r>
    </w:p>
    <w:p w:rsidR="004F7AFD" w:rsidRPr="000D35D4" w:rsidRDefault="004F7AFD" w:rsidP="004F7AFD">
      <w:pPr>
        <w:spacing w:after="0"/>
        <w:rPr>
          <w:lang w:val="en-US"/>
        </w:rPr>
      </w:pPr>
    </w:p>
    <w:tbl>
      <w:tblPr>
        <w:tblStyle w:val="Documentstructuur"/>
        <w:tblW w:w="0" w:type="auto"/>
        <w:tblLayout w:type="fixed"/>
        <w:tblLook w:val="04A0" w:firstRow="1" w:lastRow="0" w:firstColumn="1" w:lastColumn="0" w:noHBand="0" w:noVBand="1"/>
      </w:tblPr>
      <w:tblGrid>
        <w:gridCol w:w="1809"/>
        <w:gridCol w:w="567"/>
        <w:gridCol w:w="1134"/>
        <w:gridCol w:w="993"/>
        <w:gridCol w:w="708"/>
        <w:gridCol w:w="709"/>
        <w:gridCol w:w="709"/>
        <w:gridCol w:w="709"/>
        <w:gridCol w:w="708"/>
        <w:gridCol w:w="1134"/>
      </w:tblGrid>
      <w:tr w:rsidR="004F7AFD" w:rsidRPr="007F78C3" w:rsidTr="004F7AFD">
        <w:trPr>
          <w:trHeight w:val="397"/>
        </w:trPr>
        <w:tc>
          <w:tcPr>
            <w:tcW w:w="9180" w:type="dxa"/>
            <w:gridSpan w:val="10"/>
            <w:vAlign w:val="center"/>
          </w:tcPr>
          <w:p w:rsidR="004F7AFD" w:rsidRPr="000D35D4" w:rsidRDefault="004F7AFD" w:rsidP="004F7AFD">
            <w:pPr>
              <w:rPr>
                <w:b/>
                <w:lang w:val="en-US"/>
              </w:rPr>
            </w:pPr>
            <w:r w:rsidRPr="000D35D4">
              <w:rPr>
                <w:b/>
                <w:lang w:val="en-US"/>
              </w:rPr>
              <w:t>Table 2: Outcomes on diagnostic accuracy of CRP for severe pancreatic fistula</w:t>
            </w:r>
          </w:p>
        </w:tc>
      </w:tr>
      <w:tr w:rsidR="004F7AFD" w:rsidRPr="000D35D4" w:rsidTr="004F7AFD">
        <w:trPr>
          <w:trHeight w:val="397"/>
        </w:trPr>
        <w:tc>
          <w:tcPr>
            <w:tcW w:w="1809" w:type="dxa"/>
            <w:vAlign w:val="center"/>
          </w:tcPr>
          <w:p w:rsidR="004F7AFD" w:rsidRPr="000D35D4" w:rsidRDefault="004F7AFD" w:rsidP="004F7AFD">
            <w:pPr>
              <w:rPr>
                <w:b/>
                <w:lang w:val="en-US"/>
              </w:rPr>
            </w:pPr>
            <w:r w:rsidRPr="000D35D4">
              <w:rPr>
                <w:b/>
                <w:lang w:val="en-US"/>
              </w:rPr>
              <w:t>Reference</w:t>
            </w:r>
          </w:p>
        </w:tc>
        <w:tc>
          <w:tcPr>
            <w:tcW w:w="567" w:type="dxa"/>
            <w:vAlign w:val="center"/>
          </w:tcPr>
          <w:p w:rsidR="004F7AFD" w:rsidRPr="000D35D4" w:rsidRDefault="004F7AFD" w:rsidP="004F7AFD">
            <w:pPr>
              <w:jc w:val="center"/>
              <w:rPr>
                <w:b/>
                <w:lang w:val="en-US"/>
              </w:rPr>
            </w:pPr>
            <w:r w:rsidRPr="000D35D4">
              <w:rPr>
                <w:b/>
                <w:lang w:val="en-US"/>
              </w:rPr>
              <w:t>N</w:t>
            </w:r>
          </w:p>
        </w:tc>
        <w:tc>
          <w:tcPr>
            <w:tcW w:w="1134" w:type="dxa"/>
            <w:vAlign w:val="center"/>
          </w:tcPr>
          <w:p w:rsidR="004F7AFD" w:rsidRPr="000D35D4" w:rsidRDefault="004F7AFD" w:rsidP="004F7AFD">
            <w:pPr>
              <w:jc w:val="center"/>
              <w:rPr>
                <w:b/>
                <w:lang w:val="en-US"/>
              </w:rPr>
            </w:pPr>
            <w:r w:rsidRPr="000D35D4">
              <w:rPr>
                <w:b/>
                <w:lang w:val="en-US"/>
              </w:rPr>
              <w:t>Severe PF</w:t>
            </w:r>
          </w:p>
        </w:tc>
        <w:tc>
          <w:tcPr>
            <w:tcW w:w="993" w:type="dxa"/>
            <w:vAlign w:val="center"/>
          </w:tcPr>
          <w:p w:rsidR="004F7AFD" w:rsidRPr="000D35D4" w:rsidRDefault="004F7AFD" w:rsidP="004F7AFD">
            <w:pPr>
              <w:jc w:val="center"/>
              <w:rPr>
                <w:b/>
                <w:lang w:val="en-US"/>
              </w:rPr>
            </w:pPr>
            <w:r w:rsidRPr="000D35D4">
              <w:rPr>
                <w:b/>
                <w:lang w:val="en-US"/>
              </w:rPr>
              <w:t>Cut-off*</w:t>
            </w:r>
          </w:p>
        </w:tc>
        <w:tc>
          <w:tcPr>
            <w:tcW w:w="708" w:type="dxa"/>
            <w:vAlign w:val="center"/>
          </w:tcPr>
          <w:p w:rsidR="004F7AFD" w:rsidRPr="000D35D4" w:rsidRDefault="004F7AFD" w:rsidP="004F7AFD">
            <w:pPr>
              <w:jc w:val="center"/>
              <w:rPr>
                <w:b/>
                <w:lang w:val="en-US"/>
              </w:rPr>
            </w:pPr>
            <w:r w:rsidRPr="000D35D4">
              <w:rPr>
                <w:b/>
                <w:lang w:val="en-US"/>
              </w:rPr>
              <w:t>Day</w:t>
            </w:r>
          </w:p>
        </w:tc>
        <w:tc>
          <w:tcPr>
            <w:tcW w:w="709" w:type="dxa"/>
            <w:vAlign w:val="center"/>
          </w:tcPr>
          <w:p w:rsidR="004F7AFD" w:rsidRPr="000D35D4" w:rsidRDefault="004F7AFD" w:rsidP="004F7AFD">
            <w:pPr>
              <w:jc w:val="center"/>
              <w:rPr>
                <w:b/>
                <w:lang w:val="en-US"/>
              </w:rPr>
            </w:pPr>
            <w:r w:rsidRPr="000D35D4">
              <w:rPr>
                <w:b/>
                <w:lang w:val="en-US"/>
              </w:rPr>
              <w:t>Sens.</w:t>
            </w:r>
          </w:p>
        </w:tc>
        <w:tc>
          <w:tcPr>
            <w:tcW w:w="709" w:type="dxa"/>
            <w:vAlign w:val="center"/>
          </w:tcPr>
          <w:p w:rsidR="004F7AFD" w:rsidRPr="000D35D4" w:rsidRDefault="004F7AFD" w:rsidP="004F7AFD">
            <w:pPr>
              <w:jc w:val="center"/>
              <w:rPr>
                <w:b/>
                <w:lang w:val="en-US"/>
              </w:rPr>
            </w:pPr>
            <w:r w:rsidRPr="000D35D4">
              <w:rPr>
                <w:b/>
                <w:lang w:val="en-US"/>
              </w:rPr>
              <w:t>Spec.</w:t>
            </w:r>
          </w:p>
        </w:tc>
        <w:tc>
          <w:tcPr>
            <w:tcW w:w="709" w:type="dxa"/>
            <w:vAlign w:val="center"/>
          </w:tcPr>
          <w:p w:rsidR="004F7AFD" w:rsidRPr="000D35D4" w:rsidRDefault="004F7AFD" w:rsidP="004F7AFD">
            <w:pPr>
              <w:jc w:val="center"/>
              <w:rPr>
                <w:b/>
                <w:lang w:val="en-US"/>
              </w:rPr>
            </w:pPr>
            <w:r w:rsidRPr="000D35D4">
              <w:rPr>
                <w:b/>
                <w:lang w:val="en-US"/>
              </w:rPr>
              <w:t>PPV</w:t>
            </w:r>
          </w:p>
        </w:tc>
        <w:tc>
          <w:tcPr>
            <w:tcW w:w="708" w:type="dxa"/>
            <w:vAlign w:val="center"/>
          </w:tcPr>
          <w:p w:rsidR="004F7AFD" w:rsidRPr="000D35D4" w:rsidRDefault="004F7AFD" w:rsidP="004F7AFD">
            <w:pPr>
              <w:jc w:val="center"/>
              <w:rPr>
                <w:b/>
                <w:lang w:val="en-US"/>
              </w:rPr>
            </w:pPr>
            <w:r w:rsidRPr="000D35D4">
              <w:rPr>
                <w:b/>
                <w:lang w:val="en-US"/>
              </w:rPr>
              <w:t>NPV</w:t>
            </w:r>
          </w:p>
        </w:tc>
        <w:tc>
          <w:tcPr>
            <w:tcW w:w="1134" w:type="dxa"/>
            <w:vAlign w:val="center"/>
          </w:tcPr>
          <w:p w:rsidR="004F7AFD" w:rsidRPr="000D35D4" w:rsidRDefault="004F7AFD" w:rsidP="004F7AFD">
            <w:pPr>
              <w:jc w:val="center"/>
              <w:rPr>
                <w:b/>
                <w:lang w:val="en-US"/>
              </w:rPr>
            </w:pPr>
            <w:r w:rsidRPr="000D35D4">
              <w:rPr>
                <w:b/>
                <w:lang w:val="en-US"/>
              </w:rPr>
              <w:t>Accuracy</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Giardino</w:t>
            </w:r>
            <w:proofErr w:type="spellEnd"/>
            <w:r w:rsidRPr="000D35D4">
              <w:rPr>
                <w:lang w:val="en-US"/>
              </w:rPr>
              <w:t xml:space="preserve"> 2016</w:t>
            </w:r>
            <w:r w:rsidRPr="000D35D4">
              <w:rPr>
                <w:lang w:val="en-US"/>
              </w:rPr>
              <w:fldChar w:fldCharType="begin" w:fldLock="1"/>
            </w:r>
            <w:r w:rsidR="00625C5F">
              <w:rPr>
                <w:lang w:val="en-US"/>
              </w:rPr>
              <w:instrText>ADDIN CSL_CITATION { "citationItems" : [ { "id" : "ITEM-1", "itemData" : { "DOI" : "10.1007/s11605-016-3171-6", "PMID" : "27206502", "abstract" : "BACKGROUND The association between postoperative inflammatory markers and risk of complications after pancreaticoduodenectomy (PD) is controversial. We sought to assess the diagnostic value of perioperative C-reactive protein (CRP) and procalcitonin (PCT) levels in the early identification of patients at risk for complications after PD. METHODS In 2014, 84 patients undergoing elective PD were enrolled in a prospective database. Clinicopathological characteristics, CRP and PCT, as well as short-term outcomes, such as complications and pancreatic fistula, were analyzed. Complications and pancreatic fistula were defined based on the Clavien-Dindo classification and the International Study Group on Pancreatic Fistula (ISGPF) classification, respectively. High CRP and PCT were classified using cut-off values based on ROC curve analysis. RESULTS The majority (73.8\u00a0%) of patients had pancreatic adenocarcinoma. CRP and PCT levels over the first 5 postoperative days (POD) were higher among patients who experienced a complication versus those who did not (p\u2009&lt;\u20090.001). Postoperative CRP and PCT levels were also higher among patients who developed a grade B or C pancreatic fistula (p\u2009&lt;\u20090.05). A CRP concentration &gt;84\u00a0mg/l on POD 1 (AUC 0.77) and &gt;127\u00a0mg/l on POD 3 (AUC 0.79) was associated with the highest risk of overall complications (OR 6.86 and 9.0, respectively; both p\u2009&lt;\u20090.001). Similarly patients with PCT &gt;0.7\u00a0mg/dl on POD 1 (AUC 0.67) were at higher risk of developing a postoperative complication (OR 3.33; p\u2009=\u20090.024). On POD 1, a CRP &gt;92\u00a0mg/l (AUC 0.72) and a PCT &gt;0.4\u00a0mg/dl (AUC 0.70) were associated with the highest risk of pancreatic fistula (OR 5.63 and 5.62, respectively; both p\u2009&lt;\u20090.05). CONCLUSIONS CRP and PCT concentration were associated with an increased risk of developing complications and clinical relevant pancreatic fistula after PD. Use of these biomarkers may help identify those patients at highest risk for perioperative morbidity and help guide postoperative management of patients undergoing PD.", "author" : [ { "dropping-particle" : "", "family" : "Giardino", "given" : "A", "non-dropping-particle" : "", "parse-names" : false, "suffix" : "" }, { "dropping-particle" : "", "family" : "Spolverato", "given" : "G", "non-dropping-particle" : "", "parse-names" : false, "suffix" : "" }, { "dropping-particle" : "", "family" : "Regi", "given" : "P", "non-dropping-particle" : "", "parse-names" : false, "suffix" : "" }, { "dropping-particle" : "", "family" : "Frigerio", "given" : "I", "non-dropping-particle" : "", "parse-names" : false, "suffix" : "" }, { "dropping-particle" : "", "family" : "Scopelliti", "given" : "F", "non-dropping-particle" : "", "parse-names" : false, "suffix" : "" }, { "dropping-particle" : "", "family" : "Girelli", "given" : "R", "non-dropping-particle" : "", "parse-names" : false, "suffix" : "" }, { "dropping-particle" : "", "family" : "Pawlik", "given" : "Z", "non-dropping-particle" : "", "parse-names" : false, "suffix" : "" }, { "dropping-particle" : "", "family" : "Pederzoli", "given" : "P", "non-dropping-particle" : "", "parse-names" : false, "suffix" : "" }, { "dropping-particle" : "", "family" : "Bassi", "given" : "C", "non-dropping-particle" : "", "parse-names" : false, "suffix" : "" }, { "dropping-particle" : "", "family" : "Butturini", "given" : "G", "non-dropping-particle" : "", "parse-names" : false, "suffix" : "" } ], "container-title" : "Journal of gastrointestinal surgery : official journal of the Society for Surgery of the Alimentary Tract", "id" : "ITEM-1", "issue" : "8", "issued" : { "date-parts" : [ [ "2016", "8", "20" ] ] }, "page" : "1482-92", "title" : "C-Reactive Protein and Procalcitonin as Predictors of Postoperative Inflammatory Complications After Pancreatic Surgery.", "type" : "article-journal", "volume" : "20" }, "uris" : [ "http://www.mendeley.com/documents/?uuid=1d8773ff-416b-31eb-9a55-f39a0b76dfff" ] } ], "mendeley" : { "formattedCitation" : "[7]", "plainTextFormattedCitation" : "[7]", "previouslyFormattedCitation" : "&lt;sup&gt;7&lt;/sup&gt;" }, "properties" : {  }, "schema" : "https://github.com/citation-style-language/schema/raw/master/csl-citation.json" }</w:instrText>
            </w:r>
            <w:r w:rsidRPr="000D35D4">
              <w:rPr>
                <w:lang w:val="en-US"/>
              </w:rPr>
              <w:fldChar w:fldCharType="separate"/>
            </w:r>
            <w:r w:rsidR="00625C5F" w:rsidRPr="00625C5F">
              <w:rPr>
                <w:noProof/>
                <w:lang w:val="en-US"/>
              </w:rPr>
              <w:t>[7]</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84</w:t>
            </w:r>
          </w:p>
        </w:tc>
        <w:tc>
          <w:tcPr>
            <w:tcW w:w="1134" w:type="dxa"/>
            <w:vAlign w:val="center"/>
          </w:tcPr>
          <w:p w:rsidR="004F7AFD" w:rsidRPr="000D35D4" w:rsidRDefault="004F7AFD" w:rsidP="004F7AFD">
            <w:pPr>
              <w:jc w:val="center"/>
              <w:rPr>
                <w:lang w:val="en-US"/>
              </w:rPr>
            </w:pPr>
            <w:r w:rsidRPr="000D35D4">
              <w:rPr>
                <w:lang w:val="en-US"/>
              </w:rPr>
              <w:t>18</w:t>
            </w:r>
          </w:p>
        </w:tc>
        <w:tc>
          <w:tcPr>
            <w:tcW w:w="993" w:type="dxa"/>
            <w:vAlign w:val="center"/>
          </w:tcPr>
          <w:p w:rsidR="004F7AFD" w:rsidRPr="000D35D4" w:rsidRDefault="004F7AFD" w:rsidP="004F7AFD">
            <w:pPr>
              <w:jc w:val="center"/>
              <w:rPr>
                <w:lang w:val="en-US"/>
              </w:rPr>
            </w:pPr>
            <w:r w:rsidRPr="000D35D4">
              <w:rPr>
                <w:lang w:val="en-US"/>
              </w:rPr>
              <w:t>92</w:t>
            </w:r>
          </w:p>
        </w:tc>
        <w:tc>
          <w:tcPr>
            <w:tcW w:w="708" w:type="dxa"/>
            <w:vAlign w:val="center"/>
          </w:tcPr>
          <w:p w:rsidR="004F7AFD" w:rsidRPr="000D35D4" w:rsidRDefault="004F7AFD" w:rsidP="004F7AFD">
            <w:pPr>
              <w:jc w:val="center"/>
              <w:rPr>
                <w:lang w:val="en-US"/>
              </w:rPr>
            </w:pPr>
            <w:r w:rsidRPr="000D35D4">
              <w:rPr>
                <w:lang w:val="en-US"/>
              </w:rPr>
              <w:t>1</w:t>
            </w:r>
          </w:p>
        </w:tc>
        <w:tc>
          <w:tcPr>
            <w:tcW w:w="709" w:type="dxa"/>
            <w:vAlign w:val="center"/>
          </w:tcPr>
          <w:p w:rsidR="004F7AFD" w:rsidRPr="000D35D4" w:rsidRDefault="004F7AFD" w:rsidP="004F7AFD">
            <w:pPr>
              <w:jc w:val="center"/>
              <w:rPr>
                <w:lang w:val="en-US"/>
              </w:rPr>
            </w:pPr>
            <w:r w:rsidRPr="000D35D4">
              <w:rPr>
                <w:lang w:val="en-US"/>
              </w:rPr>
              <w:t>89</w:t>
            </w:r>
          </w:p>
        </w:tc>
        <w:tc>
          <w:tcPr>
            <w:tcW w:w="709" w:type="dxa"/>
            <w:vAlign w:val="center"/>
          </w:tcPr>
          <w:p w:rsidR="004F7AFD" w:rsidRPr="000D35D4" w:rsidRDefault="004F7AFD" w:rsidP="004F7AFD">
            <w:pPr>
              <w:jc w:val="center"/>
              <w:rPr>
                <w:lang w:val="en-US"/>
              </w:rPr>
            </w:pPr>
            <w:r w:rsidRPr="000D35D4">
              <w:rPr>
                <w:lang w:val="en-US"/>
              </w:rPr>
              <w:t>58</w:t>
            </w:r>
          </w:p>
        </w:tc>
        <w:tc>
          <w:tcPr>
            <w:tcW w:w="709" w:type="dxa"/>
            <w:vAlign w:val="center"/>
          </w:tcPr>
          <w:p w:rsidR="004F7AFD" w:rsidRPr="000D35D4" w:rsidRDefault="004F7AFD" w:rsidP="004F7AFD">
            <w:pPr>
              <w:jc w:val="center"/>
              <w:rPr>
                <w:lang w:val="en-US"/>
              </w:rPr>
            </w:pPr>
            <w:r w:rsidRPr="000D35D4">
              <w:rPr>
                <w:lang w:val="en-US"/>
              </w:rPr>
              <w:t>36</w:t>
            </w:r>
          </w:p>
        </w:tc>
        <w:tc>
          <w:tcPr>
            <w:tcW w:w="708" w:type="dxa"/>
            <w:vAlign w:val="center"/>
          </w:tcPr>
          <w:p w:rsidR="004F7AFD" w:rsidRPr="000D35D4" w:rsidRDefault="004F7AFD" w:rsidP="004F7AFD">
            <w:pPr>
              <w:jc w:val="center"/>
              <w:rPr>
                <w:lang w:val="en-US"/>
              </w:rPr>
            </w:pPr>
            <w:r w:rsidRPr="000D35D4">
              <w:rPr>
                <w:lang w:val="en-US"/>
              </w:rPr>
              <w:t>95</w:t>
            </w:r>
          </w:p>
        </w:tc>
        <w:tc>
          <w:tcPr>
            <w:tcW w:w="1134" w:type="dxa"/>
            <w:vAlign w:val="center"/>
          </w:tcPr>
          <w:p w:rsidR="004F7AFD" w:rsidRPr="000D35D4" w:rsidRDefault="004F7AFD" w:rsidP="004F7AFD">
            <w:pPr>
              <w:jc w:val="center"/>
              <w:rPr>
                <w:lang w:val="en-US"/>
              </w:rPr>
            </w:pPr>
            <w:r w:rsidRPr="000D35D4">
              <w:rPr>
                <w:lang w:val="en-US"/>
              </w:rPr>
              <w:t>64</w:t>
            </w:r>
          </w:p>
        </w:tc>
      </w:tr>
      <w:tr w:rsidR="004F7AFD" w:rsidRPr="000D35D4" w:rsidTr="004F7AFD">
        <w:trPr>
          <w:trHeight w:val="397"/>
        </w:trPr>
        <w:tc>
          <w:tcPr>
            <w:tcW w:w="1809" w:type="dxa"/>
            <w:vAlign w:val="center"/>
          </w:tcPr>
          <w:p w:rsidR="004F7AFD" w:rsidRPr="000D35D4" w:rsidRDefault="004F7AFD" w:rsidP="004F7AFD">
            <w:pPr>
              <w:rPr>
                <w:lang w:val="en-US"/>
              </w:rPr>
            </w:pPr>
            <w:r w:rsidRPr="000D35D4">
              <w:rPr>
                <w:lang w:val="en-US"/>
              </w:rPr>
              <w:t>Fujiwara 2013</w:t>
            </w:r>
            <w:r w:rsidRPr="000D35D4">
              <w:rPr>
                <w:lang w:val="en-US"/>
              </w:rPr>
              <w:fldChar w:fldCharType="begin" w:fldLock="1"/>
            </w:r>
            <w:r w:rsidR="00625C5F">
              <w:rPr>
                <w:lang w:val="en-US"/>
              </w:rPr>
              <w:instrText>ADDIN CSL_CITATION { "citationItems" : [ { "id" : "ITEM-1", "itemData" : { "DOI" : "10.1097/MPA.0000000000000691", "PMID" : "27518469", "abstract" : "OBJECTIVES Postoperative pancreatic fistula (POPF) is a life-threatening complication after pancreaticoduodenectomy (PD). The aim of this study is to evaluate the significance of pancreatic amylase level of pancreatic juice for PF after PD. METHODS The subjects were 46 patients who underwent PD between January 2012 and August 2015 at Jikei University Hospital. We retrospectively investigated the relation between patient characteristics including pancreatic amylase level of pancreatic juice through the pancreatic drainage tube and the incidence of POPF (grade B or grade C according to the International Study Group on the Pancreatic Fistula) using univariate and multivariate analyses. The decline of pancreatic amylase level of pancreatic juice was evaluated by 1 - postoperative day 3/postoperative day 1 ratio. RESULTS In univariate analysis, nonductal adenocarcinoma (P = 0.0252), soft pancreatic remnant (P = 0.0155), and decline of pancreatic amylase level of pancreatic juice \u2265 80% (P = 0.0010) were significant predictors of POPF. In multivariate analysis, decline of pancreatic amylase level of pancreatic juice of 80% or greater (P = 0.0192) was the only significant independent parameter. CONCLUSIONS Decline of pancreatic amylase level of pancreatic juice can predict POPF after PD.", "author" : [ { "dropping-particle" : "", "family" : "Furukawa", "given" : "Kenei", "non-dropping-particle" : "", "parse-names" : false, "suffix" : "" }, { "dropping-particle" : "", "family" : "Gocho", "given" : "Takeshi", "non-dropping-particle" : "", "parse-names" : false, "suffix" : "" }, { "dropping-particle" : "", "family" : "Shirai", "given" : "Yoshihiro", "non-dropping-particle" : "", "parse-names" : false, "suffix" : "" }, { "dropping-particle" : "", "family" : "Iwase", "given" : "Ryota", "non-dropping-particle" : "", "parse-names" : false, "suffix" : "" }, { "dropping-particle" : "", "family" : "Haruki", "given" : "Koichiro", "non-dropping-particle" : "", "parse-names" : false, "suffix" : "" }, { "dropping-particle" : "", "family" : "Fujiwara", "given" : "Yuki", "non-dropping-particle" : "", "parse-names" : false, "suffix" : "" }, { "dropping-particle" : "", "family" : "Shiba", "given" : "Hiroaki", "non-dropping-particle" : "", "parse-names" : false, "suffix" : "" }, { "dropping-particle" : "", "family" : "Misawa", "given" : "Takeyuki", "non-dropping-particle" : "", "parse-names" : false, "suffix" : "" }, { "dropping-particle" : "", "family" : "Yanaga", "given" : "Katsuhiko", "non-dropping-particle" : "", "parse-names" : false, "suffix" : "" } ], "container-title" : "Pancreas", "id" : "ITEM-1", "issue" : "10", "issued" : { "date-parts" : [ [ "2016", "11" ] ] }, "page" : "1474-1477", "title" : "The Decline of Amylase Level of Pancreatic Juice After Pancreaticoduodenectomy Predicts Postoperative Pancreatic Fistula.", "type" : "article-journal", "volume" : "45" }, "uris" : [ "http://www.mendeley.com/documents/?uuid=0039e0ef-41a6-3968-98d6-67a68a16f0e4" ] } ], "mendeley" : { "formattedCitation" : "[10]", "plainTextFormattedCitation" : "[10]", "previouslyFormattedCitation" : "&lt;sup&gt;10&lt;/sup&gt;" }, "properties" : {  }, "schema" : "https://github.com/citation-style-language/schema/raw/master/csl-citation.json" }</w:instrText>
            </w:r>
            <w:r w:rsidRPr="000D35D4">
              <w:rPr>
                <w:lang w:val="en-US"/>
              </w:rPr>
              <w:fldChar w:fldCharType="separate"/>
            </w:r>
            <w:r w:rsidR="00625C5F" w:rsidRPr="00625C5F">
              <w:rPr>
                <w:noProof/>
                <w:lang w:val="en-US"/>
              </w:rPr>
              <w:t>[10]</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297</w:t>
            </w:r>
          </w:p>
        </w:tc>
        <w:tc>
          <w:tcPr>
            <w:tcW w:w="1134" w:type="dxa"/>
            <w:vAlign w:val="center"/>
          </w:tcPr>
          <w:p w:rsidR="004F7AFD" w:rsidRPr="000D35D4" w:rsidRDefault="004F7AFD" w:rsidP="004F7AFD">
            <w:pPr>
              <w:jc w:val="center"/>
              <w:rPr>
                <w:lang w:val="en-US"/>
              </w:rPr>
            </w:pPr>
            <w:r w:rsidRPr="000D35D4">
              <w:rPr>
                <w:lang w:val="en-US"/>
              </w:rPr>
              <w:t>166</w:t>
            </w:r>
          </w:p>
        </w:tc>
        <w:tc>
          <w:tcPr>
            <w:tcW w:w="993" w:type="dxa"/>
            <w:vAlign w:val="center"/>
          </w:tcPr>
          <w:p w:rsidR="004F7AFD" w:rsidRPr="000D35D4" w:rsidRDefault="004F7AFD" w:rsidP="004F7AFD">
            <w:pPr>
              <w:jc w:val="center"/>
              <w:rPr>
                <w:lang w:val="en-US"/>
              </w:rPr>
            </w:pPr>
            <w:r w:rsidRPr="000D35D4">
              <w:rPr>
                <w:lang w:val="en-US"/>
              </w:rPr>
              <w:t>94</w:t>
            </w:r>
          </w:p>
        </w:tc>
        <w:tc>
          <w:tcPr>
            <w:tcW w:w="708" w:type="dxa"/>
            <w:vAlign w:val="center"/>
          </w:tcPr>
          <w:p w:rsidR="004F7AFD" w:rsidRPr="000D35D4" w:rsidRDefault="004F7AFD" w:rsidP="004F7AFD">
            <w:pPr>
              <w:jc w:val="center"/>
              <w:rPr>
                <w:lang w:val="en-US"/>
              </w:rPr>
            </w:pPr>
            <w:r w:rsidRPr="000D35D4">
              <w:rPr>
                <w:lang w:val="en-US"/>
              </w:rPr>
              <w:t>1</w:t>
            </w:r>
          </w:p>
        </w:tc>
        <w:tc>
          <w:tcPr>
            <w:tcW w:w="709" w:type="dxa"/>
            <w:vAlign w:val="center"/>
          </w:tcPr>
          <w:p w:rsidR="004F7AFD" w:rsidRPr="000D35D4" w:rsidRDefault="004F7AFD" w:rsidP="004F7AFD">
            <w:pPr>
              <w:jc w:val="center"/>
              <w:rPr>
                <w:lang w:val="en-US"/>
              </w:rPr>
            </w:pPr>
            <w:r w:rsidRPr="000D35D4">
              <w:rPr>
                <w:lang w:val="en-US"/>
              </w:rPr>
              <w:t>65</w:t>
            </w:r>
          </w:p>
        </w:tc>
        <w:tc>
          <w:tcPr>
            <w:tcW w:w="709" w:type="dxa"/>
            <w:vAlign w:val="center"/>
          </w:tcPr>
          <w:p w:rsidR="004F7AFD" w:rsidRPr="000D35D4" w:rsidRDefault="004F7AFD" w:rsidP="004F7AFD">
            <w:pPr>
              <w:jc w:val="center"/>
              <w:rPr>
                <w:lang w:val="en-US"/>
              </w:rPr>
            </w:pPr>
            <w:r w:rsidRPr="000D35D4">
              <w:rPr>
                <w:lang w:val="en-US"/>
              </w:rPr>
              <w:t>60</w:t>
            </w:r>
          </w:p>
        </w:tc>
        <w:tc>
          <w:tcPr>
            <w:tcW w:w="709" w:type="dxa"/>
            <w:vAlign w:val="center"/>
          </w:tcPr>
          <w:p w:rsidR="004F7AFD" w:rsidRPr="000D35D4" w:rsidRDefault="004F7AFD" w:rsidP="004F7AFD">
            <w:pPr>
              <w:jc w:val="center"/>
              <w:rPr>
                <w:lang w:val="en-US"/>
              </w:rPr>
            </w:pPr>
            <w:r w:rsidRPr="000D35D4">
              <w:rPr>
                <w:lang w:val="en-US"/>
              </w:rPr>
              <w:t>67</w:t>
            </w:r>
          </w:p>
        </w:tc>
        <w:tc>
          <w:tcPr>
            <w:tcW w:w="708" w:type="dxa"/>
            <w:vAlign w:val="center"/>
          </w:tcPr>
          <w:p w:rsidR="004F7AFD" w:rsidRPr="000D35D4" w:rsidRDefault="004F7AFD" w:rsidP="004F7AFD">
            <w:pPr>
              <w:jc w:val="center"/>
              <w:rPr>
                <w:lang w:val="en-US"/>
              </w:rPr>
            </w:pPr>
            <w:r w:rsidRPr="000D35D4">
              <w:rPr>
                <w:lang w:val="en-US"/>
              </w:rPr>
              <w:t>57</w:t>
            </w:r>
          </w:p>
        </w:tc>
        <w:tc>
          <w:tcPr>
            <w:tcW w:w="1134" w:type="dxa"/>
            <w:vAlign w:val="center"/>
          </w:tcPr>
          <w:p w:rsidR="004F7AFD" w:rsidRPr="000D35D4" w:rsidRDefault="004F7AFD" w:rsidP="004F7AFD">
            <w:pPr>
              <w:jc w:val="center"/>
              <w:rPr>
                <w:lang w:val="en-US"/>
              </w:rPr>
            </w:pPr>
            <w:r w:rsidRPr="000D35D4">
              <w:rPr>
                <w:lang w:val="en-US"/>
              </w:rPr>
              <w:t>62</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Palani</w:t>
            </w:r>
            <w:proofErr w:type="spellEnd"/>
            <w:r w:rsidRPr="000D35D4">
              <w:rPr>
                <w:lang w:val="en-US"/>
              </w:rPr>
              <w:t xml:space="preserve"> </w:t>
            </w:r>
            <w:proofErr w:type="spellStart"/>
            <w:r w:rsidRPr="000D35D4">
              <w:rPr>
                <w:lang w:val="en-US"/>
              </w:rPr>
              <w:t>Velu</w:t>
            </w:r>
            <w:proofErr w:type="spellEnd"/>
            <w:r w:rsidRPr="000D35D4">
              <w:rPr>
                <w:lang w:val="en-US"/>
              </w:rPr>
              <w:t xml:space="preserve"> 2016</w:t>
            </w:r>
            <w:r w:rsidRPr="000D35D4">
              <w:rPr>
                <w:lang w:val="en-US"/>
              </w:rPr>
              <w:fldChar w:fldCharType="begin" w:fldLock="1"/>
            </w:r>
            <w:r w:rsidR="00625C5F">
              <w:rPr>
                <w:lang w:val="en-US"/>
              </w:rPr>
              <w:instrText>ADDIN CSL_CITATION { "citationItems" : [ { "id" : "ITEM-1", "itemData" : { "DOI" : "10.1111/hpb.12184", "ISSN" : "14772574", "PMID" : "24246024", "abstract" : "OBJECTIVES: Drainage after pancreaticoduodenectomy (PD) remains controversial because the risk for uncontrolled postoperative pancreatic fistula (POPF) must be balanced against the potential morbidity associated with prolonged and possibly unnecessary drainage. This study investigated the utility of the level of serum amylase on the night of surgery [postoperative day (PoD) 0 serum amylase] to predict POPF.\\n\\nMETHODS: A total of 185 patients who underwent PD were studied. Occurrences of POPF were graded using the International Study Group on Pancreatic Fistula (ISGPF) classification. Receiver operating characteristic (ROC) analysis identified a threshold value of PoD 0 serum amylase associated with clinically significant POPF (ISGPF Grades B and C) in a test cohort (n = 45). The accuracy of this threshold value was then tested in a validation cohort (n = 140).\\n\\nRESULTS: Overall, 43 (23.2%) patients developed clinically significant POPF. The threshold value of PoD 0 serum amylase for the identification of clinically significant POPF was \u2265 130 IU/l (P = 0.003). Serum amylase of &lt;130 IU/l had a negative predictive value of 88.8% for clinically significant POPF (P &lt; 0.001). Serum amylase of \u2265 130 IU/l on PoD 0 and a soft pancreatic parenchyma were independent risk factors for clinically significant POPF.\\n\\nCONCLUSIONS: Postoperative day 0 serum amylase of &lt;130 IU/l allows for the early and accurate categorization of patients at least risk for clinically significant POPF and may identify patients suitable for early drain removal.", "author" : [ { "dropping-particle" : "", "family" : "Palani Velu", "given" : "Lavanniya K.", "non-dropping-particle" : "", "parse-names" : false, "suffix" : "" }, { "dropping-particle" : "V.", "family" : "Chandrabalan", "given" : "Vishnu", "non-dropping-particle" : "", "parse-names" : false, "suffix" : "" }, { "dropping-particle" : "", "family" : "Jabbar", "given" : "Salman", "non-dropping-particle" : "", "parse-names" : false, "suffix" : "" }, { "dropping-particle" : "", "family" : "McMillan", "given" : "Donald C.", "non-dropping-particle" : "", "parse-names" : false, "suffix" : "" }, { "dropping-particle" : "", "family" : "McKay", "given" : "Colin J.", "non-dropping-particle" : "", "parse-names" : false, "suffix" : "" }, { "dropping-particle" : "", "family" : "Carter", "given" : "C. Ross", "non-dropping-particle" : "", "parse-names" : false, "suffix" : "" }, { "dropping-particle" : "", "family" : "Jamieson", "given" : "Nigel B.", "non-dropping-particle" : "", "parse-names" : false, "suffix" : "" }, { "dropping-particle" : "", "family" : "Dickson", "given" : "Euan J.", "non-dropping-particle" : "", "parse-names" : false, "suffix" : "" } ], "container-title" : "HPB", "id" : "ITEM-1", "issue" : "7", "issued" : { "date-parts" : [ [ "2014" ] ] }, "page" : "610-619", "title" : "Serum amylase on the night of surgery predicts clinically significant pancreatic fistula after pancreaticoduodenectomy", "type" : "article-journal", "volume" : "16" }, "uris" : [ "http://www.mendeley.com/documents/?uuid=f62070a4-497a-417b-a6ef-0b343e9bb010" ] } ], "mendeley" : { "formattedCitation" : "[11]", "plainTextFormattedCitation" : "[11]", "previouslyFormattedCitation" : "&lt;sup&gt;11&lt;/sup&gt;" }, "properties" : {  }, "schema" : "https://github.com/citation-style-language/schema/raw/master/csl-citation.json" }</w:instrText>
            </w:r>
            <w:r w:rsidRPr="000D35D4">
              <w:rPr>
                <w:lang w:val="en-US"/>
              </w:rPr>
              <w:fldChar w:fldCharType="separate"/>
            </w:r>
            <w:r w:rsidR="00625C5F" w:rsidRPr="00625C5F">
              <w:rPr>
                <w:noProof/>
                <w:lang w:val="en-US"/>
              </w:rPr>
              <w:t>[11]</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185</w:t>
            </w:r>
          </w:p>
        </w:tc>
        <w:tc>
          <w:tcPr>
            <w:tcW w:w="1134" w:type="dxa"/>
            <w:vAlign w:val="center"/>
          </w:tcPr>
          <w:p w:rsidR="004F7AFD" w:rsidRPr="000D35D4" w:rsidRDefault="004F7AFD" w:rsidP="004F7AFD">
            <w:pPr>
              <w:jc w:val="center"/>
              <w:rPr>
                <w:lang w:val="en-US"/>
              </w:rPr>
            </w:pPr>
            <w:r w:rsidRPr="000D35D4">
              <w:rPr>
                <w:lang w:val="en-US"/>
              </w:rPr>
              <w:t>43</w:t>
            </w:r>
          </w:p>
        </w:tc>
        <w:tc>
          <w:tcPr>
            <w:tcW w:w="993" w:type="dxa"/>
            <w:vAlign w:val="center"/>
          </w:tcPr>
          <w:p w:rsidR="004F7AFD" w:rsidRPr="000D35D4" w:rsidRDefault="004F7AFD" w:rsidP="004F7AFD">
            <w:pPr>
              <w:jc w:val="center"/>
              <w:rPr>
                <w:lang w:val="en-US"/>
              </w:rPr>
            </w:pPr>
            <w:r w:rsidRPr="000D35D4">
              <w:rPr>
                <w:lang w:val="en-US"/>
              </w:rPr>
              <w:t>180</w:t>
            </w:r>
          </w:p>
        </w:tc>
        <w:tc>
          <w:tcPr>
            <w:tcW w:w="708" w:type="dxa"/>
            <w:vAlign w:val="center"/>
          </w:tcPr>
          <w:p w:rsidR="004F7AFD" w:rsidRPr="000D35D4" w:rsidRDefault="004F7AFD" w:rsidP="004F7AFD">
            <w:pPr>
              <w:jc w:val="center"/>
              <w:rPr>
                <w:lang w:val="en-US"/>
              </w:rPr>
            </w:pPr>
            <w:r w:rsidRPr="000D35D4">
              <w:rPr>
                <w:lang w:val="en-US"/>
              </w:rPr>
              <w:t>2</w:t>
            </w:r>
          </w:p>
        </w:tc>
        <w:tc>
          <w:tcPr>
            <w:tcW w:w="709" w:type="dxa"/>
            <w:vAlign w:val="center"/>
          </w:tcPr>
          <w:p w:rsidR="004F7AFD" w:rsidRPr="000D35D4" w:rsidRDefault="004F7AFD" w:rsidP="004F7AFD">
            <w:pPr>
              <w:jc w:val="center"/>
              <w:rPr>
                <w:lang w:val="en-US"/>
              </w:rPr>
            </w:pPr>
            <w:r w:rsidRPr="000D35D4">
              <w:rPr>
                <w:lang w:val="en-US"/>
              </w:rPr>
              <w:t>83</w:t>
            </w:r>
          </w:p>
        </w:tc>
        <w:tc>
          <w:tcPr>
            <w:tcW w:w="709" w:type="dxa"/>
            <w:vAlign w:val="center"/>
          </w:tcPr>
          <w:p w:rsidR="004F7AFD" w:rsidRPr="000D35D4" w:rsidRDefault="004F7AFD" w:rsidP="004F7AFD">
            <w:pPr>
              <w:jc w:val="center"/>
              <w:rPr>
                <w:lang w:val="en-US"/>
              </w:rPr>
            </w:pPr>
            <w:r w:rsidRPr="000D35D4">
              <w:rPr>
                <w:lang w:val="en-US"/>
              </w:rPr>
              <w:t>36</w:t>
            </w:r>
          </w:p>
        </w:tc>
        <w:tc>
          <w:tcPr>
            <w:tcW w:w="709" w:type="dxa"/>
            <w:vAlign w:val="center"/>
          </w:tcPr>
          <w:p w:rsidR="004F7AFD" w:rsidRPr="000D35D4" w:rsidRDefault="004F7AFD" w:rsidP="004F7AFD">
            <w:pPr>
              <w:jc w:val="center"/>
              <w:rPr>
                <w:lang w:val="en-US"/>
              </w:rPr>
            </w:pPr>
            <w:r w:rsidRPr="000D35D4">
              <w:rPr>
                <w:lang w:val="en-US"/>
              </w:rPr>
              <w:t>29</w:t>
            </w:r>
          </w:p>
        </w:tc>
        <w:tc>
          <w:tcPr>
            <w:tcW w:w="708" w:type="dxa"/>
            <w:vAlign w:val="center"/>
          </w:tcPr>
          <w:p w:rsidR="004F7AFD" w:rsidRPr="000D35D4" w:rsidRDefault="004F7AFD" w:rsidP="004F7AFD">
            <w:pPr>
              <w:jc w:val="center"/>
              <w:rPr>
                <w:lang w:val="en-US"/>
              </w:rPr>
            </w:pPr>
            <w:r w:rsidRPr="000D35D4">
              <w:rPr>
                <w:lang w:val="en-US"/>
              </w:rPr>
              <w:t>88</w:t>
            </w:r>
          </w:p>
        </w:tc>
        <w:tc>
          <w:tcPr>
            <w:tcW w:w="1134" w:type="dxa"/>
            <w:vAlign w:val="center"/>
          </w:tcPr>
          <w:p w:rsidR="004F7AFD" w:rsidRPr="000D35D4" w:rsidRDefault="004F7AFD" w:rsidP="004F7AFD">
            <w:pPr>
              <w:jc w:val="center"/>
              <w:rPr>
                <w:lang w:val="en-US"/>
              </w:rPr>
            </w:pPr>
            <w:r w:rsidRPr="000D35D4">
              <w:rPr>
                <w:lang w:val="en-US"/>
              </w:rPr>
              <w:t>47</w:t>
            </w:r>
          </w:p>
        </w:tc>
      </w:tr>
      <w:tr w:rsidR="004F7AFD" w:rsidRPr="000D35D4" w:rsidTr="004F7AFD">
        <w:trPr>
          <w:trHeight w:val="397"/>
        </w:trPr>
        <w:tc>
          <w:tcPr>
            <w:tcW w:w="1809" w:type="dxa"/>
            <w:vAlign w:val="center"/>
          </w:tcPr>
          <w:p w:rsidR="004F7AFD" w:rsidRPr="000D35D4" w:rsidRDefault="004F7AFD" w:rsidP="004F7AFD">
            <w:pPr>
              <w:rPr>
                <w:lang w:val="en-US"/>
              </w:rPr>
            </w:pPr>
            <w:r w:rsidRPr="000D35D4">
              <w:rPr>
                <w:lang w:val="en-US"/>
              </w:rPr>
              <w:t>Furukawa 2016</w:t>
            </w:r>
            <w:r w:rsidRPr="000D35D4">
              <w:rPr>
                <w:lang w:val="en-US"/>
              </w:rPr>
              <w:fldChar w:fldCharType="begin" w:fldLock="1"/>
            </w:r>
            <w:r w:rsidR="00625C5F">
              <w:rPr>
                <w:lang w:val="en-US"/>
              </w:rPr>
              <w:instrText>ADDIN CSL_CITATION { "citationItems" : [ { "id" : "ITEM-1", "itemData" : { "DOI" : "10.1097/MPA.0000000000000691", "PMID" : "27518469", "abstract" : "OBJECTIVES Postoperative pancreatic fistula (POPF) is a life-threatening complication after pancreaticoduodenectomy (PD). The aim of this study is to evaluate the significance of pancreatic amylase level of pancreatic juice for PF after PD. METHODS The subjects were 46 patients who underwent PD between January 2012 and August 2015 at Jikei University Hospital. We retrospectively investigated the relation between patient characteristics including pancreatic amylase level of pancreatic juice through the pancreatic drainage tube and the incidence of POPF (grade B or grade C according to the International Study Group on the Pancreatic Fistula) using univariate and multivariate analyses. The decline of pancreatic amylase level of pancreatic juice was evaluated by 1 - postoperative day 3/postoperative day 1 ratio. RESULTS In univariate analysis, nonductal adenocarcinoma (P = 0.0252), soft pancreatic remnant (P = 0.0155), and decline of pancreatic amylase level of pancreatic juice \u2265 80% (P = 0.0010) were significant predictors of POPF. In multivariate analysis, decline of pancreatic amylase level of pancreatic juice of 80% or greater (P = 0.0192) was the only significant independent parameter. CONCLUSIONS Decline of pancreatic amylase level of pancreatic juice can predict POPF after PD.", "author" : [ { "dropping-particle" : "", "family" : "Furukawa", "given" : "Kenei", "non-dropping-particle" : "", "parse-names" : false, "suffix" : "" }, { "dropping-particle" : "", "family" : "Gocho", "given" : "Takeshi", "non-dropping-particle" : "", "parse-names" : false, "suffix" : "" }, { "dropping-particle" : "", "family" : "Shirai", "given" : "Yoshihiro", "non-dropping-particle" : "", "parse-names" : false, "suffix" : "" }, { "dropping-particle" : "", "family" : "Iwase", "given" : "Ryota", "non-dropping-particle" : "", "parse-names" : false, "suffix" : "" }, { "dropping-particle" : "", "family" : "Haruki", "given" : "Koichiro", "non-dropping-particle" : "", "parse-names" : false, "suffix" : "" }, { "dropping-particle" : "", "family" : "Fujiwara", "given" : "Yuki", "non-dropping-particle" : "", "parse-names" : false, "suffix" : "" }, { "dropping-particle" : "", "family" : "Shiba", "given" : "Hiroaki", "non-dropping-particle" : "", "parse-names" : false, "suffix" : "" }, { "dropping-particle" : "", "family" : "Misawa", "given" : "Takeyuki", "non-dropping-particle" : "", "parse-names" : false, "suffix" : "" }, { "dropping-particle" : "", "family" : "Yanaga", "given" : "Katsuhiko", "non-dropping-particle" : "", "parse-names" : false, "suffix" : "" } ], "container-title" : "Pancreas", "id" : "ITEM-1", "issue" : "10", "issued" : { "date-parts" : [ [ "2016", "11" ] ] }, "page" : "1474-1477", "title" : "The Decline of Amylase Level of Pancreatic Juice After Pancreaticoduodenectomy Predicts Postoperative Pancreatic Fistula.", "type" : "article-journal", "volume" : "45" }, "uris" : [ "http://www.mendeley.com/documents/?uuid=0039e0ef-41a6-3968-98d6-67a68a16f0e4" ] } ], "mendeley" : { "formattedCitation" : "[10]", "plainTextFormattedCitation" : "[10]", "previouslyFormattedCitation" : "&lt;sup&gt;10&lt;/sup&gt;" }, "properties" : {  }, "schema" : "https://github.com/citation-style-language/schema/raw/master/csl-citation.json" }</w:instrText>
            </w:r>
            <w:r w:rsidRPr="000D35D4">
              <w:rPr>
                <w:lang w:val="en-US"/>
              </w:rPr>
              <w:fldChar w:fldCharType="separate"/>
            </w:r>
            <w:r w:rsidR="00625C5F" w:rsidRPr="00625C5F">
              <w:rPr>
                <w:noProof/>
                <w:lang w:val="en-US"/>
              </w:rPr>
              <w:t>[10]</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46</w:t>
            </w:r>
          </w:p>
        </w:tc>
        <w:tc>
          <w:tcPr>
            <w:tcW w:w="1134" w:type="dxa"/>
            <w:vAlign w:val="center"/>
          </w:tcPr>
          <w:p w:rsidR="004F7AFD" w:rsidRPr="000D35D4" w:rsidRDefault="004F7AFD" w:rsidP="004F7AFD">
            <w:pPr>
              <w:jc w:val="center"/>
              <w:rPr>
                <w:lang w:val="en-US"/>
              </w:rPr>
            </w:pPr>
            <w:r w:rsidRPr="000D35D4">
              <w:rPr>
                <w:lang w:val="en-US"/>
              </w:rPr>
              <w:t>16</w:t>
            </w:r>
          </w:p>
        </w:tc>
        <w:tc>
          <w:tcPr>
            <w:tcW w:w="993" w:type="dxa"/>
            <w:vAlign w:val="center"/>
          </w:tcPr>
          <w:p w:rsidR="004F7AFD" w:rsidRPr="000D35D4" w:rsidRDefault="004F7AFD" w:rsidP="004F7AFD">
            <w:pPr>
              <w:jc w:val="center"/>
              <w:rPr>
                <w:lang w:val="en-US"/>
              </w:rPr>
            </w:pPr>
            <w:r w:rsidRPr="000D35D4">
              <w:rPr>
                <w:lang w:val="en-US"/>
              </w:rPr>
              <w:t>100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59</w:t>
            </w:r>
          </w:p>
        </w:tc>
        <w:tc>
          <w:tcPr>
            <w:tcW w:w="709" w:type="dxa"/>
            <w:vAlign w:val="center"/>
          </w:tcPr>
          <w:p w:rsidR="004F7AFD" w:rsidRPr="000D35D4" w:rsidRDefault="004F7AFD" w:rsidP="004F7AFD">
            <w:pPr>
              <w:jc w:val="center"/>
              <w:rPr>
                <w:lang w:val="en-US"/>
              </w:rPr>
            </w:pPr>
            <w:r w:rsidRPr="000D35D4">
              <w:rPr>
                <w:lang w:val="en-US"/>
              </w:rPr>
              <w:t>88</w:t>
            </w:r>
          </w:p>
        </w:tc>
        <w:tc>
          <w:tcPr>
            <w:tcW w:w="709" w:type="dxa"/>
            <w:vAlign w:val="center"/>
          </w:tcPr>
          <w:p w:rsidR="004F7AFD" w:rsidRPr="000D35D4" w:rsidRDefault="004F7AFD" w:rsidP="004F7AFD">
            <w:pPr>
              <w:jc w:val="center"/>
              <w:rPr>
                <w:lang w:val="en-US"/>
              </w:rPr>
            </w:pPr>
            <w:r w:rsidRPr="000D35D4">
              <w:rPr>
                <w:lang w:val="en-US"/>
              </w:rPr>
              <w:t>81</w:t>
            </w:r>
          </w:p>
        </w:tc>
        <w:tc>
          <w:tcPr>
            <w:tcW w:w="708" w:type="dxa"/>
            <w:vAlign w:val="center"/>
          </w:tcPr>
          <w:p w:rsidR="004F7AFD" w:rsidRPr="000D35D4" w:rsidRDefault="004F7AFD" w:rsidP="004F7AFD">
            <w:pPr>
              <w:jc w:val="center"/>
              <w:rPr>
                <w:lang w:val="en-US"/>
              </w:rPr>
            </w:pPr>
            <w:r w:rsidRPr="000D35D4">
              <w:rPr>
                <w:lang w:val="en-US"/>
              </w:rPr>
              <w:t>70</w:t>
            </w:r>
          </w:p>
        </w:tc>
        <w:tc>
          <w:tcPr>
            <w:tcW w:w="1134" w:type="dxa"/>
            <w:vAlign w:val="center"/>
          </w:tcPr>
          <w:p w:rsidR="004F7AFD" w:rsidRPr="000D35D4" w:rsidRDefault="004F7AFD" w:rsidP="004F7AFD">
            <w:pPr>
              <w:jc w:val="center"/>
              <w:rPr>
                <w:lang w:val="en-US"/>
              </w:rPr>
            </w:pPr>
            <w:r w:rsidRPr="000D35D4">
              <w:rPr>
                <w:lang w:val="en-US"/>
              </w:rPr>
              <w:t>74</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Ansorge</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"10.1002/bjs.9362", "ISSN" : "00071323", "PMID" : "24306817", "abstract" : "ACKGROUND: The use of prophylactic abdominal drainage following pancreaticoduodenectomy (PD) is controversial as its therapeutic value is uncertain. However, the diagnosis of postoperative pancreatic fistula (POPF), the main cause of PD-associated morbidity, is often based on drain pancreatic amylase (DPA) levels. The aim of this study was to assess the predictive value of DPA, plasma pancreatic amylase (PPA) and serum C-reactive protein (CRP) for diagnosing POPF after PD. METHODS: Patients undergoing PD with prophylactic drainage between 2008 and 2012 were studied prospectively. DPA, PPA and CRP levels were obtained daily. Differences between groups with clinically relevant POPF (International Study Group on Pancreatic Fistula (ISGPF) grade B/C) and without clinically relevant POPF (no POPF or ISGPF grade A) were evaluated. Receiver operating characteristic (ROC) analyses were performed to determine the value of DPA, PPA and CRP in prediction of POPF. Risk profiles for clinically relevant POPF were constructed and related to the intraoperative pancreatic risk assessment. RESULTS: Fifty-nine (18.7 per cent) of 315 patients developed clinically relevant POPF. DPA, PPA and CRP levels on postoperative day (POD) 1-3 differed significantly between the study groups. In predicting POPF, the DPA level on POD 1 (cut-off at 1322 units/l; odds ratio (OR) 24.61, 95 per cent confidence interval 11.55 to 52.42) and POD 2 (cut-off at 314 units/l; OR 35.45, 14.07 to 89.33) was superior to that of PPA on POD 1 (cut-off at 177 units/l; OR 13.67, 6.46 to 28.94) and POD 2 (cut-off at 98 units/l; OR 16.97, 8.33 to 34.59). When DPA was combined with CRP (cut-off on POD 3 at 202 mg/l; OR 16.98, 8.43 to 34.21), 90.3 per cent of postoperative courses could be predicted correctly (OR 44.14, 16.89 to 115.38). CONCLUSION: The combination of serum CRP and DPA adequately predicted the development of clinically relevant pancreatic fistula following PD.", "author" : [ { "dropping-particle" : "", "family" : "Ansorge", "given" : "C.", "non-dropping-particle" : "", "parse-names" : false, "suffix" : "" }, { "dropping-particle" : "", "family" : "Nordin", "given" : "J. Z.", "non-dropping-particle" : "", "parse-names" : false, "suffix" : "" }, { "dropping-particle" : "", "family" : "Lundell", "given" : "L.", "non-dropping-particle" : "", "parse-names" : false, "suffix" : "" }, { "dropping-particle" : "", "family" : "Str\u00f6mmer", "given" : "L.", "non-dropping-particle" : "", "parse-names" : false, "suffix" : "" }, { "dropping-particle" : "", "family" : "Rangelova", "given" : "E.", "non-dropping-particle" : "", "parse-names" : false, "suffix" : "" }, { "dropping-particle" : "", "family" : "Blomberg", "given" : "J.", "non-dropping-particle" : "", "parse-names" : false, "suffix" : "" }, { "dropping-particle" : "", "family" : "Chiaro", "given" : "M.", "non-dropping-particle" : "del", "parse-names" : false, "suffix" : "" }, { "dropping-particle" : "", "family" : "Segersv\u00e4rd", "given" : "R.", "non-dropping-particle" : "", "parse-names" : false, "suffix" : "" } ], "container-title" : "British Journal of Surgery", "id" : "ITEM-1", "issue" : "2", "issued" : { "date-parts" : [ [ "2014", "1" ] ] }, "page" : "100-108", "title" : "Diagnostic value of abdominal drainage in individual risk assessment of pancreatic fistula following pancreaticoduodenectomy", "type" : "article-journal", "volume" : "101" }, "uris" : [ "http://www.mendeley.com/documents/?uuid=aeba12b3-8347-40e0-b303-ecee9bb6fc99" ] } ], "mendeley" : { "formattedCitation" : "[12]", "plainTextFormattedCitation" : "[12]", "previouslyFormattedCitation" : "&lt;sup&gt;12&lt;/sup&gt;" }, "properties" : {  }, "schema" : "https://github.com/citation-style-language/schema/raw/master/csl-citation.json" }</w:instrText>
            </w:r>
            <w:r w:rsidRPr="000D35D4">
              <w:rPr>
                <w:lang w:val="en-US"/>
              </w:rPr>
              <w:fldChar w:fldCharType="separate"/>
            </w:r>
            <w:r w:rsidR="00625C5F" w:rsidRPr="00625C5F">
              <w:rPr>
                <w:noProof/>
                <w:lang w:val="en-US"/>
              </w:rPr>
              <w:t>[12]</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315</w:t>
            </w:r>
          </w:p>
        </w:tc>
        <w:tc>
          <w:tcPr>
            <w:tcW w:w="1134" w:type="dxa"/>
            <w:vAlign w:val="center"/>
          </w:tcPr>
          <w:p w:rsidR="004F7AFD" w:rsidRPr="000D35D4" w:rsidRDefault="004F7AFD" w:rsidP="004F7AFD">
            <w:pPr>
              <w:jc w:val="center"/>
              <w:rPr>
                <w:lang w:val="en-US"/>
              </w:rPr>
            </w:pPr>
            <w:r w:rsidRPr="000D35D4">
              <w:rPr>
                <w:lang w:val="en-US"/>
              </w:rPr>
              <w:t>59</w:t>
            </w:r>
          </w:p>
        </w:tc>
        <w:tc>
          <w:tcPr>
            <w:tcW w:w="993" w:type="dxa"/>
            <w:vAlign w:val="center"/>
          </w:tcPr>
          <w:p w:rsidR="004F7AFD" w:rsidRPr="000D35D4" w:rsidRDefault="004F7AFD" w:rsidP="004F7AFD">
            <w:pPr>
              <w:jc w:val="center"/>
              <w:rPr>
                <w:lang w:val="en-US"/>
              </w:rPr>
            </w:pPr>
            <w:r w:rsidRPr="000D35D4">
              <w:rPr>
                <w:lang w:val="en-US"/>
              </w:rPr>
              <w:t>202</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78</w:t>
            </w:r>
          </w:p>
        </w:tc>
        <w:tc>
          <w:tcPr>
            <w:tcW w:w="709" w:type="dxa"/>
            <w:vAlign w:val="center"/>
          </w:tcPr>
          <w:p w:rsidR="004F7AFD" w:rsidRPr="000D35D4" w:rsidRDefault="004F7AFD" w:rsidP="004F7AFD">
            <w:pPr>
              <w:jc w:val="center"/>
              <w:rPr>
                <w:lang w:val="en-US"/>
              </w:rPr>
            </w:pPr>
            <w:r w:rsidRPr="000D35D4">
              <w:rPr>
                <w:lang w:val="en-US"/>
              </w:rPr>
              <w:t>83</w:t>
            </w:r>
          </w:p>
        </w:tc>
        <w:tc>
          <w:tcPr>
            <w:tcW w:w="709" w:type="dxa"/>
            <w:vAlign w:val="center"/>
          </w:tcPr>
          <w:p w:rsidR="004F7AFD" w:rsidRPr="000D35D4" w:rsidRDefault="004F7AFD" w:rsidP="004F7AFD">
            <w:pPr>
              <w:jc w:val="center"/>
              <w:rPr>
                <w:lang w:val="en-US"/>
              </w:rPr>
            </w:pPr>
            <w:r w:rsidRPr="000D35D4">
              <w:rPr>
                <w:lang w:val="en-US"/>
              </w:rPr>
              <w:t>51</w:t>
            </w:r>
          </w:p>
        </w:tc>
        <w:tc>
          <w:tcPr>
            <w:tcW w:w="708" w:type="dxa"/>
            <w:vAlign w:val="center"/>
          </w:tcPr>
          <w:p w:rsidR="004F7AFD" w:rsidRPr="000D35D4" w:rsidRDefault="004F7AFD" w:rsidP="004F7AFD">
            <w:pPr>
              <w:jc w:val="center"/>
              <w:rPr>
                <w:lang w:val="en-US"/>
              </w:rPr>
            </w:pPr>
            <w:r w:rsidRPr="000D35D4">
              <w:rPr>
                <w:lang w:val="en-US"/>
              </w:rPr>
              <w:t>94</w:t>
            </w:r>
          </w:p>
        </w:tc>
        <w:tc>
          <w:tcPr>
            <w:tcW w:w="1134" w:type="dxa"/>
            <w:vAlign w:val="center"/>
          </w:tcPr>
          <w:p w:rsidR="004F7AFD" w:rsidRPr="000D35D4" w:rsidRDefault="004F7AFD" w:rsidP="004F7AFD">
            <w:pPr>
              <w:jc w:val="center"/>
              <w:rPr>
                <w:lang w:val="en-US"/>
              </w:rPr>
            </w:pPr>
            <w:r w:rsidRPr="000D35D4">
              <w:rPr>
                <w:lang w:val="en-US"/>
              </w:rPr>
              <w:t>82</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Solaini</w:t>
            </w:r>
            <w:proofErr w:type="spellEnd"/>
            <w:r w:rsidRPr="000D35D4">
              <w:rPr>
                <w:lang w:val="en-US"/>
              </w:rPr>
              <w:t xml:space="preserve"> 2015</w:t>
            </w:r>
            <w:r w:rsidRPr="000D35D4">
              <w:rPr>
                <w:lang w:val="en-US"/>
              </w:rPr>
              <w:fldChar w:fldCharType="begin" w:fldLock="1"/>
            </w:r>
            <w:r w:rsidR="00625C5F">
              <w:rPr>
                <w:lang w:val="en-US"/>
              </w:rPr>
              <w:instrText>ADDIN CSL_CITATION { "citationItems" : [ { "id" : "ITEM-1", "itemData" : { "DOI" : "10.1016/j.ijsu.2015.03.009", "ISSN" : "17439159", "PMID" : "25779213", "abstract" : "Purpose: To examine the diagnostic accuracy of systemic inflammatory markers in early prediction of inflammatory postoperative complications (IPC) and clinically-relevant pancreatic fistula (PF). Methods: Preoperative and postoperative [until postoperative day (POD) 4)] measurements of hemoglobin, white blood cell counts (WBC), neutrophil/lymphocyte ratio (NLR) and C-reactive protein (CRP) were correlated with IPC and PF. Meta-analyses of biochemical predictors were performed. Results: Ninety-two out of 378 patients developed IPC, PF occurred in 31. Preoperative WBC (OR 1.0001, 95% CI: 1.0001-1.0002, p = 0.02), NLR on POD2 (OR 1.05, 95% CI: 1.006-1.1, p = 0.02) and CRP on POD4 (OR 1.006, 95% CI: 1.002-1.01, p = 0.02) predicted IPC at multivariate analysis. The model including these three variables showed a diagnostic accuracy of 76.8% (sensitivity 20, specificity 97%.14; PPV 71.43, PPN 77.27) and, at logistic regression analysis an OR of 8.5 (95% CI: 2.5-28.6, p &lt; 0.001). Only CRP &gt;272 on POD3 (OR 3.32, 95% CI: 1.46-7.52, p = 0.003) was associated with PF with a diagnostic accuracy of 74% (sensitivity 54.5, specificity 78.5; PPV 16.88, NPV 94.25). Meta-analyses of available data suggested sensitivity of 75.3% (95% CI 66.7-82.6) and specificity of 75.5% (95% CI 61.3-85.7). However, these studies were significantly heterogeneous. Conclusions: Readily available, routine tests have limited utility in predicting IPC. Further research is required to develop novel biomarkers to aid management of these patients.", "author" : [ { "dropping-particle" : "", "family" : "Solaini", "given" : "Leonardo", "non-dropping-particle" : "", "parse-names" : false, "suffix" : "" }, { "dropping-particle" : "", "family" : "Atmaja", "given" : "Bambang T.", "non-dropping-particle" : "", "parse-names" : false, "suffix" : "" }, { "dropping-particle" : "", "family" : "Watt", "given" : "Jennifer", "non-dropping-particle" : "", "parse-names" : false, "suffix" : "" }, { "dropping-particle" : "", "family" : "Arumugam", "given" : "Prabhu", "non-dropping-particle" : "", "parse-names" : false, "suffix" : "" }, { "dropping-particle" : "", "family" : "Hutchins", "given" : "Robert R.", "non-dropping-particle" : "", "parse-names" : false, "suffix" : "" }, { "dropping-particle" : "", "family" : "Abraham", "given" : "Ajit T.", "non-dropping-particle" : "", "parse-names" : false, "suffix" : "" }, { "dropping-particle" : "", "family" : "Bhattacharya", "given" : "Satyajit", "non-dropping-particle" : "", "parse-names" : false, "suffix" : "" }, { "dropping-particle" : "", "family" : "Kocher", "given" : "Hemant M.", "non-dropping-particle" : "", "parse-names" : false, "suffix" : "" } ], "container-title" : "International Journal of Surgery", "id" : "ITEM-1", "issued" : { "date-parts" : [ [ "2015", "5" ] ] }, "page" : "41-47", "publisher" : "Elsevier Ltd", "title" : "Limited utility of inflammatory markers in the early detection of postoperative inflammatory complications after pancreatic resection: Cohort study and meta-analyses", "type" : "article-journal", "volume" : "17" }, "uris" : [ "http://www.mendeley.com/documents/?uuid=0343e1ea-d4b6-4836-b3d1-416050ba9b1e" ] } ], "mendeley" : { "formattedCitation" : "[14]", "plainTextFormattedCitation" : "[14]", "previouslyFormattedCitation" : "&lt;sup&gt;14&lt;/sup&gt;" }, "properties" : {  }, "schema" : "https://github.com/citation-style-language/schema/raw/master/csl-citation.json" }</w:instrText>
            </w:r>
            <w:r w:rsidRPr="000D35D4">
              <w:rPr>
                <w:lang w:val="en-US"/>
              </w:rPr>
              <w:fldChar w:fldCharType="separate"/>
            </w:r>
            <w:r w:rsidR="00625C5F" w:rsidRPr="00625C5F">
              <w:rPr>
                <w:noProof/>
                <w:lang w:val="en-US"/>
              </w:rPr>
              <w:t>[14]</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378</w:t>
            </w:r>
          </w:p>
        </w:tc>
        <w:tc>
          <w:tcPr>
            <w:tcW w:w="1134" w:type="dxa"/>
            <w:vAlign w:val="center"/>
          </w:tcPr>
          <w:p w:rsidR="004F7AFD" w:rsidRPr="000D35D4" w:rsidRDefault="004F7AFD" w:rsidP="004F7AFD">
            <w:pPr>
              <w:jc w:val="center"/>
              <w:rPr>
                <w:lang w:val="en-US"/>
              </w:rPr>
            </w:pPr>
            <w:r w:rsidRPr="000D35D4">
              <w:rPr>
                <w:lang w:val="en-US"/>
              </w:rPr>
              <w:t>31</w:t>
            </w:r>
          </w:p>
        </w:tc>
        <w:tc>
          <w:tcPr>
            <w:tcW w:w="993" w:type="dxa"/>
            <w:vAlign w:val="center"/>
          </w:tcPr>
          <w:p w:rsidR="004F7AFD" w:rsidRPr="000D35D4" w:rsidRDefault="004F7AFD" w:rsidP="004F7AFD">
            <w:pPr>
              <w:jc w:val="center"/>
              <w:rPr>
                <w:lang w:val="en-US"/>
              </w:rPr>
            </w:pPr>
            <w:r w:rsidRPr="000D35D4">
              <w:rPr>
                <w:lang w:val="en-US"/>
              </w:rPr>
              <w:t>272</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50</w:t>
            </w:r>
          </w:p>
        </w:tc>
        <w:tc>
          <w:tcPr>
            <w:tcW w:w="709" w:type="dxa"/>
            <w:vAlign w:val="center"/>
          </w:tcPr>
          <w:p w:rsidR="004F7AFD" w:rsidRPr="000D35D4" w:rsidRDefault="004F7AFD" w:rsidP="004F7AFD">
            <w:pPr>
              <w:jc w:val="center"/>
              <w:rPr>
                <w:lang w:val="en-US"/>
              </w:rPr>
            </w:pPr>
            <w:r w:rsidRPr="000D35D4">
              <w:rPr>
                <w:lang w:val="en-US"/>
              </w:rPr>
              <w:t>77</w:t>
            </w:r>
          </w:p>
        </w:tc>
        <w:tc>
          <w:tcPr>
            <w:tcW w:w="709" w:type="dxa"/>
            <w:vAlign w:val="center"/>
          </w:tcPr>
          <w:p w:rsidR="004F7AFD" w:rsidRPr="000D35D4" w:rsidRDefault="004F7AFD" w:rsidP="004F7AFD">
            <w:pPr>
              <w:jc w:val="center"/>
              <w:rPr>
                <w:lang w:val="en-US"/>
              </w:rPr>
            </w:pPr>
            <w:r w:rsidRPr="000D35D4">
              <w:rPr>
                <w:lang w:val="en-US"/>
              </w:rPr>
              <w:t>17</w:t>
            </w:r>
          </w:p>
        </w:tc>
        <w:tc>
          <w:tcPr>
            <w:tcW w:w="708" w:type="dxa"/>
            <w:vAlign w:val="center"/>
          </w:tcPr>
          <w:p w:rsidR="004F7AFD" w:rsidRPr="000D35D4" w:rsidRDefault="004F7AFD" w:rsidP="004F7AFD">
            <w:pPr>
              <w:jc w:val="center"/>
              <w:rPr>
                <w:lang w:val="en-US"/>
              </w:rPr>
            </w:pPr>
            <w:r w:rsidRPr="000D35D4">
              <w:rPr>
                <w:lang w:val="en-US"/>
              </w:rPr>
              <w:t>94</w:t>
            </w:r>
          </w:p>
        </w:tc>
        <w:tc>
          <w:tcPr>
            <w:tcW w:w="1134" w:type="dxa"/>
            <w:vAlign w:val="center"/>
          </w:tcPr>
          <w:p w:rsidR="004F7AFD" w:rsidRPr="000D35D4" w:rsidRDefault="004F7AFD" w:rsidP="004F7AFD">
            <w:pPr>
              <w:jc w:val="center"/>
              <w:rPr>
                <w:lang w:val="en-US"/>
              </w:rPr>
            </w:pPr>
            <w:r w:rsidRPr="000D35D4">
              <w:rPr>
                <w:lang w:val="en-US"/>
              </w:rPr>
              <w:t>74</w:t>
            </w:r>
          </w:p>
        </w:tc>
      </w:tr>
      <w:tr w:rsidR="004F7AFD" w:rsidRPr="000D35D4" w:rsidTr="004F7AFD">
        <w:trPr>
          <w:trHeight w:val="397"/>
        </w:trPr>
        <w:tc>
          <w:tcPr>
            <w:tcW w:w="1809" w:type="dxa"/>
            <w:vMerge w:val="restart"/>
            <w:vAlign w:val="center"/>
          </w:tcPr>
          <w:p w:rsidR="004F7AFD" w:rsidRPr="000D35D4" w:rsidRDefault="004F7AFD" w:rsidP="004F7AFD">
            <w:pPr>
              <w:rPr>
                <w:lang w:val="en-US"/>
              </w:rPr>
            </w:pPr>
            <w:proofErr w:type="spellStart"/>
            <w:r w:rsidRPr="000D35D4">
              <w:rPr>
                <w:lang w:val="en-US"/>
              </w:rPr>
              <w:t>Uemura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t>200</w:t>
            </w:r>
          </w:p>
        </w:tc>
        <w:tc>
          <w:tcPr>
            <w:tcW w:w="1134" w:type="dxa"/>
            <w:vMerge w:val="restart"/>
            <w:vAlign w:val="center"/>
          </w:tcPr>
          <w:p w:rsidR="004F7AFD" w:rsidRPr="000D35D4" w:rsidRDefault="004F7AFD" w:rsidP="004F7AFD">
            <w:pPr>
              <w:jc w:val="center"/>
              <w:rPr>
                <w:lang w:val="en-US"/>
              </w:rPr>
            </w:pPr>
            <w:r w:rsidRPr="000D35D4">
              <w:rPr>
                <w:lang w:val="en-US"/>
              </w:rPr>
              <w:t>15</w:t>
            </w:r>
          </w:p>
        </w:tc>
        <w:tc>
          <w:tcPr>
            <w:tcW w:w="993" w:type="dxa"/>
            <w:vAlign w:val="center"/>
          </w:tcPr>
          <w:p w:rsidR="004F7AFD" w:rsidRPr="000D35D4" w:rsidRDefault="004F7AFD" w:rsidP="004F7AFD">
            <w:pPr>
              <w:jc w:val="center"/>
              <w:rPr>
                <w:lang w:val="en-US"/>
              </w:rPr>
            </w:pPr>
            <w:r w:rsidRPr="000D35D4">
              <w:rPr>
                <w:lang w:val="en-US"/>
              </w:rPr>
              <w:t>145</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100</w:t>
            </w:r>
          </w:p>
        </w:tc>
        <w:tc>
          <w:tcPr>
            <w:tcW w:w="709" w:type="dxa"/>
            <w:vAlign w:val="center"/>
          </w:tcPr>
          <w:p w:rsidR="004F7AFD" w:rsidRPr="000D35D4" w:rsidRDefault="004F7AFD" w:rsidP="004F7AFD">
            <w:pPr>
              <w:jc w:val="center"/>
              <w:rPr>
                <w:lang w:val="en-US"/>
              </w:rPr>
            </w:pPr>
            <w:r w:rsidRPr="000D35D4">
              <w:rPr>
                <w:lang w:val="en-US"/>
              </w:rPr>
              <w:t>53</w:t>
            </w:r>
          </w:p>
        </w:tc>
        <w:tc>
          <w:tcPr>
            <w:tcW w:w="709" w:type="dxa"/>
            <w:vAlign w:val="center"/>
          </w:tcPr>
          <w:p w:rsidR="004F7AFD" w:rsidRPr="000D35D4" w:rsidRDefault="004F7AFD" w:rsidP="004F7AFD">
            <w:pPr>
              <w:jc w:val="center"/>
              <w:rPr>
                <w:lang w:val="en-US"/>
              </w:rPr>
            </w:pPr>
            <w:r w:rsidRPr="000D35D4">
              <w:rPr>
                <w:lang w:val="en-US"/>
              </w:rPr>
              <w:t>15</w:t>
            </w:r>
          </w:p>
        </w:tc>
        <w:tc>
          <w:tcPr>
            <w:tcW w:w="708"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r w:rsidRPr="000D35D4">
              <w:rPr>
                <w:lang w:val="en-US"/>
              </w:rPr>
              <w:t>80</w:t>
            </w:r>
          </w:p>
        </w:tc>
      </w:tr>
      <w:tr w:rsidR="004F7AFD" w:rsidRPr="000D35D4"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0D35D4">
              <w:rPr>
                <w:lang w:val="en-US"/>
              </w:rPr>
              <w:t>156</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80</w:t>
            </w:r>
          </w:p>
        </w:tc>
        <w:tc>
          <w:tcPr>
            <w:tcW w:w="709" w:type="dxa"/>
            <w:vAlign w:val="center"/>
          </w:tcPr>
          <w:p w:rsidR="004F7AFD" w:rsidRPr="000D35D4" w:rsidRDefault="004F7AFD" w:rsidP="004F7AFD">
            <w:pPr>
              <w:jc w:val="center"/>
              <w:rPr>
                <w:lang w:val="en-US"/>
              </w:rPr>
            </w:pPr>
            <w:r w:rsidRPr="000D35D4">
              <w:rPr>
                <w:lang w:val="en-US"/>
              </w:rPr>
              <w:t>87</w:t>
            </w:r>
          </w:p>
        </w:tc>
        <w:tc>
          <w:tcPr>
            <w:tcW w:w="709" w:type="dxa"/>
            <w:vAlign w:val="center"/>
          </w:tcPr>
          <w:p w:rsidR="004F7AFD" w:rsidRPr="000D35D4" w:rsidRDefault="004F7AFD" w:rsidP="004F7AFD">
            <w:pPr>
              <w:jc w:val="center"/>
              <w:rPr>
                <w:lang w:val="en-US"/>
              </w:rPr>
            </w:pPr>
            <w:r w:rsidRPr="000D35D4">
              <w:rPr>
                <w:lang w:val="en-US"/>
              </w:rPr>
              <w:t>22</w:t>
            </w:r>
          </w:p>
        </w:tc>
        <w:tc>
          <w:tcPr>
            <w:tcW w:w="708" w:type="dxa"/>
            <w:vAlign w:val="center"/>
          </w:tcPr>
          <w:p w:rsidR="004F7AFD" w:rsidRPr="000D35D4" w:rsidRDefault="004F7AFD" w:rsidP="004F7AFD">
            <w:pPr>
              <w:jc w:val="center"/>
              <w:rPr>
                <w:lang w:val="en-US"/>
              </w:rPr>
            </w:pPr>
            <w:r w:rsidRPr="000D35D4">
              <w:rPr>
                <w:lang w:val="en-US"/>
              </w:rPr>
              <w:t>98</w:t>
            </w:r>
          </w:p>
        </w:tc>
        <w:tc>
          <w:tcPr>
            <w:tcW w:w="1134" w:type="dxa"/>
            <w:vAlign w:val="center"/>
          </w:tcPr>
          <w:p w:rsidR="004F7AFD" w:rsidRPr="000D35D4" w:rsidRDefault="004F7AFD" w:rsidP="004F7AFD">
            <w:pPr>
              <w:jc w:val="center"/>
              <w:rPr>
                <w:lang w:val="en-US"/>
              </w:rPr>
            </w:pPr>
            <w:r w:rsidRPr="000D35D4">
              <w:rPr>
                <w:lang w:val="en-US"/>
              </w:rPr>
              <w:t>80</w:t>
            </w:r>
          </w:p>
        </w:tc>
      </w:tr>
      <w:tr w:rsidR="004F7AFD" w:rsidRPr="007F78C3"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Kosaka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"ITEM-1",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"mendeley" : { "formattedCitation" : "[8]", "plainTextFormattedCitation" : "[8]", "previouslyFormattedCitation" : "&lt;sup&gt;8&lt;/sup&gt;" }, "properties" : {  }, "schema" : "https://github.com/citation-style-language/schema/raw/master/csl-citation.json" }</w:instrText>
            </w:r>
            <w:r w:rsidRPr="000D35D4">
              <w:rPr>
                <w:lang w:val="en-US"/>
              </w:rPr>
              <w:fldChar w:fldCharType="separate"/>
            </w:r>
            <w:r w:rsidR="00625C5F" w:rsidRPr="00625C5F">
              <w:rPr>
                <w:noProof/>
                <w:lang w:val="en-US"/>
              </w:rPr>
              <w:t>[8]</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r w:rsidRPr="000D35D4">
              <w:rPr>
                <w:lang w:val="en-US"/>
              </w:rPr>
              <w:t>34</w:t>
            </w:r>
          </w:p>
        </w:tc>
        <w:tc>
          <w:tcPr>
            <w:tcW w:w="993" w:type="dxa"/>
            <w:vAlign w:val="center"/>
          </w:tcPr>
          <w:p w:rsidR="004F7AFD" w:rsidRPr="000D35D4" w:rsidRDefault="004F7AFD" w:rsidP="004F7AFD">
            <w:pPr>
              <w:jc w:val="center"/>
              <w:rPr>
                <w:lang w:val="en-US"/>
              </w:rPr>
            </w:pPr>
            <w:r w:rsidRPr="000D35D4">
              <w:rPr>
                <w:lang w:val="en-US"/>
              </w:rPr>
              <w:t>93</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88</w:t>
            </w:r>
          </w:p>
        </w:tc>
        <w:tc>
          <w:tcPr>
            <w:tcW w:w="709" w:type="dxa"/>
            <w:vAlign w:val="center"/>
          </w:tcPr>
          <w:p w:rsidR="004F7AFD" w:rsidRPr="000D35D4" w:rsidRDefault="004F7AFD" w:rsidP="004F7AFD">
            <w:pPr>
              <w:jc w:val="center"/>
              <w:rPr>
                <w:lang w:val="en-US"/>
              </w:rPr>
            </w:pPr>
            <w:r w:rsidRPr="000D35D4">
              <w:rPr>
                <w:lang w:val="en-US"/>
              </w:rPr>
              <w:t>90</w:t>
            </w:r>
          </w:p>
        </w:tc>
        <w:tc>
          <w:tcPr>
            <w:tcW w:w="709" w:type="dxa"/>
            <w:vAlign w:val="center"/>
          </w:tcPr>
          <w:p w:rsidR="004F7AFD" w:rsidRPr="000D35D4" w:rsidRDefault="004F7AFD" w:rsidP="004F7AFD">
            <w:pPr>
              <w:jc w:val="center"/>
              <w:rPr>
                <w:lang w:val="en-US"/>
              </w:rPr>
            </w:pPr>
            <w:r w:rsidRPr="000D35D4">
              <w:rPr>
                <w:lang w:val="en-US"/>
              </w:rPr>
              <w:t>90</w:t>
            </w:r>
          </w:p>
        </w:tc>
        <w:tc>
          <w:tcPr>
            <w:tcW w:w="708" w:type="dxa"/>
            <w:vAlign w:val="center"/>
          </w:tcPr>
          <w:p w:rsidR="004F7AFD" w:rsidRPr="000D35D4" w:rsidRDefault="004F7AFD" w:rsidP="004F7AFD">
            <w:pPr>
              <w:jc w:val="center"/>
              <w:rPr>
                <w:lang w:val="en-US"/>
              </w:rPr>
            </w:pPr>
            <w:r w:rsidRPr="000D35D4">
              <w:rPr>
                <w:lang w:val="en-US"/>
              </w:rPr>
              <w:t>94</w:t>
            </w:r>
          </w:p>
        </w:tc>
        <w:tc>
          <w:tcPr>
            <w:tcW w:w="1134" w:type="dxa"/>
            <w:vAlign w:val="center"/>
          </w:tcPr>
          <w:p w:rsidR="004F7AFD" w:rsidRPr="000D35D4" w:rsidRDefault="004F7AFD" w:rsidP="004F7AFD">
            <w:pPr>
              <w:jc w:val="center"/>
              <w:rPr>
                <w:lang w:val="en-US"/>
              </w:rPr>
            </w:pPr>
            <w:r w:rsidRPr="000D35D4">
              <w:rPr>
                <w:lang w:val="en-US"/>
              </w:rPr>
              <w:t>80</w:t>
            </w:r>
          </w:p>
        </w:tc>
      </w:tr>
      <w:tr w:rsidR="004F7AFD" w:rsidRPr="007F78C3" w:rsidTr="004F7AFD">
        <w:trPr>
          <w:trHeight w:val="340"/>
        </w:trPr>
        <w:tc>
          <w:tcPr>
            <w:tcW w:w="9180" w:type="dxa"/>
            <w:gridSpan w:val="10"/>
            <w:vAlign w:val="center"/>
          </w:tcPr>
          <w:p w:rsidR="004F7AFD" w:rsidRPr="000D35D4" w:rsidRDefault="004F7AFD" w:rsidP="004F7AFD">
            <w:pPr>
              <w:rPr>
                <w:i/>
                <w:sz w:val="20"/>
                <w:lang w:val="en-US"/>
              </w:rPr>
            </w:pPr>
            <w:r w:rsidRPr="000D35D4">
              <w:rPr>
                <w:i/>
                <w:sz w:val="20"/>
                <w:lang w:val="en-US"/>
              </w:rPr>
              <w:t xml:space="preserve">N, total number of patients included in analysis; severe PF, severe pancreatic fistula (i.e. ISGPS grade B/C); Day, postoperative day; </w:t>
            </w:r>
            <w:proofErr w:type="spellStart"/>
            <w:r w:rsidRPr="000D35D4">
              <w:rPr>
                <w:i/>
                <w:sz w:val="20"/>
                <w:lang w:val="en-US"/>
              </w:rPr>
              <w:t>sens.</w:t>
            </w:r>
            <w:proofErr w:type="spellEnd"/>
            <w:r w:rsidRPr="000D35D4">
              <w:rPr>
                <w:i/>
                <w:sz w:val="20"/>
                <w:lang w:val="en-US"/>
              </w:rPr>
              <w:t xml:space="preserve">, sensitivity; spec., specificity; PPV, positive predictive value; NPV, negative predictive value; Accuracy was calculated by dividing number of correct assessments by total number of assessments. The study by </w:t>
            </w:r>
            <w:proofErr w:type="spellStart"/>
            <w:r w:rsidRPr="000D35D4">
              <w:rPr>
                <w:i/>
                <w:sz w:val="20"/>
                <w:lang w:val="en-US"/>
              </w:rPr>
              <w:t>Uemura</w:t>
            </w:r>
            <w:proofErr w:type="spellEnd"/>
            <w:r w:rsidRPr="000D35D4">
              <w:rPr>
                <w:i/>
                <w:sz w:val="20"/>
                <w:lang w:val="en-US"/>
              </w:rPr>
              <w:t xml:space="preserve"> et al.</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r w:rsidRPr="000D35D4">
              <w:rPr>
                <w:i/>
                <w:sz w:val="20"/>
                <w:lang w:val="en-US"/>
              </w:rPr>
              <w:t xml:space="preserve"> evaluated two cut off points on different postoperative days. </w:t>
            </w:r>
          </w:p>
          <w:p w:rsidR="004F7AFD" w:rsidRPr="000D35D4" w:rsidRDefault="004F7AFD" w:rsidP="004F7AFD">
            <w:pPr>
              <w:rPr>
                <w:i/>
                <w:sz w:val="20"/>
                <w:lang w:val="en-US"/>
              </w:rPr>
            </w:pPr>
            <w:r w:rsidRPr="000D35D4">
              <w:rPr>
                <w:i/>
                <w:sz w:val="20"/>
                <w:lang w:val="en-US"/>
              </w:rPr>
              <w:lastRenderedPageBreak/>
              <w:t>* Values in milligram per liter</w:t>
            </w:r>
          </w:p>
        </w:tc>
      </w:tr>
    </w:tbl>
    <w:p w:rsidR="004F7AFD" w:rsidRPr="000D35D4" w:rsidRDefault="004F7AFD" w:rsidP="004F7AFD">
      <w:pPr>
        <w:spacing w:after="0"/>
        <w:rPr>
          <w:lang w:val="en-US"/>
        </w:rPr>
      </w:pPr>
    </w:p>
    <w:p w:rsidR="004F7AFD" w:rsidRPr="000D35D4" w:rsidRDefault="004F7AFD" w:rsidP="004F7AFD">
      <w:pPr>
        <w:spacing w:after="0"/>
        <w:jc w:val="both"/>
        <w:rPr>
          <w:lang w:val="en-US"/>
        </w:rPr>
      </w:pPr>
      <w:r w:rsidRPr="000D35D4">
        <w:rPr>
          <w:lang w:val="en-US"/>
        </w:rPr>
        <w:t>In the algorithm were included the lower and upper border of proposed cut-offs (i.e. 100 to 270 for practical reasons). Evaluation in the retrospective cohort showed a high number of patients (53 of 153 patients) having a CRP level over 270 mg/L on the third postoperative day</w:t>
      </w:r>
      <w:r>
        <w:rPr>
          <w:lang w:val="en-US"/>
        </w:rPr>
        <w:t>,</w:t>
      </w:r>
      <w:r w:rsidRPr="000D35D4">
        <w:rPr>
          <w:lang w:val="en-US"/>
        </w:rPr>
        <w:t xml:space="preserve"> with a high false positive rate. </w:t>
      </w:r>
      <w:r w:rsidRPr="00B01CA9">
        <w:rPr>
          <w:lang w:val="en-US"/>
        </w:rPr>
        <w:t xml:space="preserve">Therefore, in consensus </w:t>
      </w:r>
      <w:r>
        <w:rPr>
          <w:lang w:val="en-US"/>
        </w:rPr>
        <w:t>among</w:t>
      </w:r>
      <w:r w:rsidRPr="00B01CA9">
        <w:rPr>
          <w:lang w:val="en-US"/>
        </w:rPr>
        <w:t xml:space="preserve"> </w:t>
      </w:r>
      <w:r>
        <w:rPr>
          <w:lang w:val="en-US"/>
        </w:rPr>
        <w:t xml:space="preserve">expert </w:t>
      </w:r>
      <w:r w:rsidRPr="00B01CA9">
        <w:rPr>
          <w:lang w:val="en-US"/>
        </w:rPr>
        <w:t xml:space="preserve">Dutch </w:t>
      </w:r>
      <w:r>
        <w:rPr>
          <w:lang w:val="en-US"/>
        </w:rPr>
        <w:t>pancreatic surgeons</w:t>
      </w:r>
      <w:r w:rsidRPr="00B01CA9">
        <w:rPr>
          <w:lang w:val="en-US"/>
        </w:rPr>
        <w:t xml:space="preserve">, the </w:t>
      </w:r>
      <w:r w:rsidRPr="000D35D4">
        <w:rPr>
          <w:lang w:val="en-US"/>
        </w:rPr>
        <w:t xml:space="preserve">cut-off level was increased to 300 mg/L only for the third postoperative day. </w:t>
      </w:r>
    </w:p>
    <w:p w:rsidR="004F7AFD" w:rsidRPr="000D35D4" w:rsidRDefault="004F7AFD" w:rsidP="004F7AFD">
      <w:pPr>
        <w:spacing w:after="0"/>
        <w:rPr>
          <w:i/>
          <w:lang w:val="en-US"/>
        </w:rPr>
      </w:pPr>
    </w:p>
    <w:p w:rsidR="004F7AFD" w:rsidRPr="000D35D4" w:rsidRDefault="004F7AFD" w:rsidP="004F7AFD">
      <w:pPr>
        <w:spacing w:after="0"/>
        <w:rPr>
          <w:i/>
          <w:lang w:val="en-US"/>
        </w:rPr>
      </w:pPr>
      <w:r w:rsidRPr="000D35D4">
        <w:rPr>
          <w:i/>
          <w:lang w:val="en-US"/>
        </w:rPr>
        <w:t>Systemic Inflammatory Response Syndrome [SIRS]</w:t>
      </w:r>
    </w:p>
    <w:p w:rsidR="004F7AFD" w:rsidRPr="000D35D4" w:rsidRDefault="004F7AFD" w:rsidP="004F7AFD">
      <w:pPr>
        <w:spacing w:after="0"/>
        <w:rPr>
          <w:lang w:val="en-US"/>
        </w:rPr>
      </w:pPr>
      <w:r w:rsidRPr="000D35D4">
        <w:rPr>
          <w:lang w:val="en-US"/>
        </w:rPr>
        <w:t>The association between elevation in white blood cell count (WBC) after pancreatic resection and severe postoperative pancreatic fistula was evaluated in 3 studies on a total of 358 patients</w:t>
      </w:r>
      <w:r w:rsidRPr="000D35D4">
        <w:rPr>
          <w:lang w:val="en-US"/>
        </w:rPr>
        <w:fldChar w:fldCharType="begin" w:fldLock="1"/>
      </w:r>
      <w:r w:rsidR="00625C5F">
        <w:rPr>
          <w:lang w:val="en-US"/>
        </w:rPr>
        <w:instrText>ADDIN CSL_CITATION { "citationItems" : [ { "id" : "ITEM-1",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"ITEM-1",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"id" : "ITEM-2",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"ITEM-2",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"id" : "ITEM-3",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"ITEM-3",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"[4,6,8]", "plainTextFormattedCitation" : "[4,6,8]", "previouslyFormattedCitation" : "&lt;sup&gt;4,6,8&lt;/sup&gt;" }, "properties" : {  }, "schema" : "https://github.com/citation-style-language/schema/raw/master/csl-citation.json" }</w:instrText>
      </w:r>
      <w:r w:rsidRPr="000D35D4">
        <w:rPr>
          <w:lang w:val="en-US"/>
        </w:rPr>
        <w:fldChar w:fldCharType="separate"/>
      </w:r>
      <w:r w:rsidR="00625C5F" w:rsidRPr="00625C5F">
        <w:rPr>
          <w:noProof/>
          <w:lang w:val="en-US"/>
        </w:rPr>
        <w:t>[4,6,8]</w:t>
      </w:r>
      <w:r w:rsidRPr="000D35D4">
        <w:rPr>
          <w:lang w:val="en-US"/>
        </w:rPr>
        <w:fldChar w:fldCharType="end"/>
      </w:r>
      <w:r w:rsidRPr="000D35D4">
        <w:rPr>
          <w:lang w:val="en-US"/>
        </w:rPr>
        <w:t>. All outcomes of these studies are provided in the table below.</w:t>
      </w:r>
    </w:p>
    <w:p w:rsidR="004F7AFD" w:rsidRPr="000D35D4" w:rsidRDefault="004F7AFD" w:rsidP="004F7AFD">
      <w:pPr>
        <w:spacing w:after="0"/>
        <w:rPr>
          <w:lang w:val="en-US"/>
        </w:rPr>
      </w:pPr>
    </w:p>
    <w:tbl>
      <w:tblPr>
        <w:tblStyle w:val="Documentstructuur"/>
        <w:tblW w:w="0" w:type="auto"/>
        <w:tblLayout w:type="fixed"/>
        <w:tblLook w:val="04A0" w:firstRow="1" w:lastRow="0" w:firstColumn="1" w:lastColumn="0" w:noHBand="0" w:noVBand="1"/>
      </w:tblPr>
      <w:tblGrid>
        <w:gridCol w:w="1809"/>
        <w:gridCol w:w="567"/>
        <w:gridCol w:w="1134"/>
        <w:gridCol w:w="993"/>
        <w:gridCol w:w="708"/>
        <w:gridCol w:w="709"/>
        <w:gridCol w:w="709"/>
        <w:gridCol w:w="709"/>
        <w:gridCol w:w="708"/>
        <w:gridCol w:w="1134"/>
      </w:tblGrid>
      <w:tr w:rsidR="004F7AFD" w:rsidRPr="007F78C3" w:rsidTr="004F7AFD">
        <w:trPr>
          <w:trHeight w:val="397"/>
        </w:trPr>
        <w:tc>
          <w:tcPr>
            <w:tcW w:w="9180" w:type="dxa"/>
            <w:gridSpan w:val="10"/>
            <w:vAlign w:val="center"/>
          </w:tcPr>
          <w:p w:rsidR="004F7AFD" w:rsidRPr="000D35D4" w:rsidRDefault="004F7AFD" w:rsidP="004F7AFD">
            <w:pPr>
              <w:rPr>
                <w:b/>
                <w:lang w:val="en-US"/>
              </w:rPr>
            </w:pPr>
            <w:r w:rsidRPr="000D35D4">
              <w:rPr>
                <w:b/>
                <w:lang w:val="en-US"/>
              </w:rPr>
              <w:t>Table 3: Outcomes on diagnostic accuracy of WBC for severe pancreatic fistula</w:t>
            </w:r>
          </w:p>
        </w:tc>
      </w:tr>
      <w:tr w:rsidR="004F7AFD" w:rsidRPr="000D35D4" w:rsidTr="004F7AFD">
        <w:trPr>
          <w:trHeight w:val="397"/>
        </w:trPr>
        <w:tc>
          <w:tcPr>
            <w:tcW w:w="1809" w:type="dxa"/>
            <w:vAlign w:val="center"/>
          </w:tcPr>
          <w:p w:rsidR="004F7AFD" w:rsidRPr="000D35D4" w:rsidRDefault="004F7AFD" w:rsidP="004F7AFD">
            <w:pPr>
              <w:rPr>
                <w:b/>
                <w:lang w:val="en-US"/>
              </w:rPr>
            </w:pPr>
            <w:r w:rsidRPr="000D35D4">
              <w:rPr>
                <w:b/>
                <w:lang w:val="en-US"/>
              </w:rPr>
              <w:t>Reference</w:t>
            </w:r>
          </w:p>
        </w:tc>
        <w:tc>
          <w:tcPr>
            <w:tcW w:w="567" w:type="dxa"/>
            <w:vAlign w:val="center"/>
          </w:tcPr>
          <w:p w:rsidR="004F7AFD" w:rsidRPr="000D35D4" w:rsidRDefault="004F7AFD" w:rsidP="004F7AFD">
            <w:pPr>
              <w:jc w:val="center"/>
              <w:rPr>
                <w:b/>
                <w:lang w:val="en-US"/>
              </w:rPr>
            </w:pPr>
            <w:r w:rsidRPr="000D35D4">
              <w:rPr>
                <w:b/>
                <w:lang w:val="en-US"/>
              </w:rPr>
              <w:t>N</w:t>
            </w:r>
          </w:p>
        </w:tc>
        <w:tc>
          <w:tcPr>
            <w:tcW w:w="1134" w:type="dxa"/>
            <w:vAlign w:val="center"/>
          </w:tcPr>
          <w:p w:rsidR="004F7AFD" w:rsidRPr="000D35D4" w:rsidRDefault="004F7AFD" w:rsidP="004F7AFD">
            <w:pPr>
              <w:jc w:val="center"/>
              <w:rPr>
                <w:b/>
                <w:lang w:val="en-US"/>
              </w:rPr>
            </w:pPr>
            <w:r w:rsidRPr="000D35D4">
              <w:rPr>
                <w:b/>
                <w:lang w:val="en-US"/>
              </w:rPr>
              <w:t>Severe PF</w:t>
            </w:r>
          </w:p>
        </w:tc>
        <w:tc>
          <w:tcPr>
            <w:tcW w:w="993" w:type="dxa"/>
            <w:vAlign w:val="center"/>
          </w:tcPr>
          <w:p w:rsidR="004F7AFD" w:rsidRPr="000D35D4" w:rsidRDefault="004F7AFD" w:rsidP="004F7AFD">
            <w:pPr>
              <w:jc w:val="center"/>
              <w:rPr>
                <w:b/>
                <w:lang w:val="en-US"/>
              </w:rPr>
            </w:pPr>
            <w:r w:rsidRPr="000D35D4">
              <w:rPr>
                <w:b/>
                <w:lang w:val="en-US"/>
              </w:rPr>
              <w:t>Cut-off*</w:t>
            </w:r>
          </w:p>
        </w:tc>
        <w:tc>
          <w:tcPr>
            <w:tcW w:w="708" w:type="dxa"/>
            <w:vAlign w:val="center"/>
          </w:tcPr>
          <w:p w:rsidR="004F7AFD" w:rsidRPr="000D35D4" w:rsidRDefault="004F7AFD" w:rsidP="004F7AFD">
            <w:pPr>
              <w:jc w:val="center"/>
              <w:rPr>
                <w:b/>
                <w:lang w:val="en-US"/>
              </w:rPr>
            </w:pPr>
            <w:r w:rsidRPr="000D35D4">
              <w:rPr>
                <w:b/>
                <w:lang w:val="en-US"/>
              </w:rPr>
              <w:t>Day</w:t>
            </w:r>
          </w:p>
        </w:tc>
        <w:tc>
          <w:tcPr>
            <w:tcW w:w="709" w:type="dxa"/>
            <w:vAlign w:val="center"/>
          </w:tcPr>
          <w:p w:rsidR="004F7AFD" w:rsidRPr="000D35D4" w:rsidRDefault="004F7AFD" w:rsidP="004F7AFD">
            <w:pPr>
              <w:jc w:val="center"/>
              <w:rPr>
                <w:b/>
                <w:lang w:val="en-US"/>
              </w:rPr>
            </w:pPr>
            <w:r w:rsidRPr="000D35D4">
              <w:rPr>
                <w:b/>
                <w:lang w:val="en-US"/>
              </w:rPr>
              <w:t>Sens</w:t>
            </w:r>
          </w:p>
        </w:tc>
        <w:tc>
          <w:tcPr>
            <w:tcW w:w="709" w:type="dxa"/>
            <w:vAlign w:val="center"/>
          </w:tcPr>
          <w:p w:rsidR="004F7AFD" w:rsidRPr="000D35D4" w:rsidRDefault="004F7AFD" w:rsidP="004F7AFD">
            <w:pPr>
              <w:jc w:val="center"/>
              <w:rPr>
                <w:b/>
                <w:lang w:val="en-US"/>
              </w:rPr>
            </w:pPr>
            <w:r w:rsidRPr="000D35D4">
              <w:rPr>
                <w:b/>
                <w:lang w:val="en-US"/>
              </w:rPr>
              <w:t>Spec</w:t>
            </w:r>
          </w:p>
        </w:tc>
        <w:tc>
          <w:tcPr>
            <w:tcW w:w="709" w:type="dxa"/>
            <w:vAlign w:val="center"/>
          </w:tcPr>
          <w:p w:rsidR="004F7AFD" w:rsidRPr="000D35D4" w:rsidRDefault="004F7AFD" w:rsidP="004F7AFD">
            <w:pPr>
              <w:jc w:val="center"/>
              <w:rPr>
                <w:b/>
                <w:lang w:val="en-US"/>
              </w:rPr>
            </w:pPr>
            <w:r w:rsidRPr="000D35D4">
              <w:rPr>
                <w:b/>
                <w:lang w:val="en-US"/>
              </w:rPr>
              <w:t>PPV</w:t>
            </w:r>
          </w:p>
        </w:tc>
        <w:tc>
          <w:tcPr>
            <w:tcW w:w="708" w:type="dxa"/>
            <w:vAlign w:val="center"/>
          </w:tcPr>
          <w:p w:rsidR="004F7AFD" w:rsidRPr="000D35D4" w:rsidRDefault="004F7AFD" w:rsidP="004F7AFD">
            <w:pPr>
              <w:jc w:val="center"/>
              <w:rPr>
                <w:b/>
                <w:lang w:val="en-US"/>
              </w:rPr>
            </w:pPr>
            <w:r w:rsidRPr="000D35D4">
              <w:rPr>
                <w:b/>
                <w:lang w:val="en-US"/>
              </w:rPr>
              <w:t>NPV</w:t>
            </w:r>
          </w:p>
        </w:tc>
        <w:tc>
          <w:tcPr>
            <w:tcW w:w="1134" w:type="dxa"/>
            <w:vAlign w:val="center"/>
          </w:tcPr>
          <w:p w:rsidR="004F7AFD" w:rsidRPr="000D35D4" w:rsidRDefault="004F7AFD" w:rsidP="004F7AFD">
            <w:pPr>
              <w:jc w:val="center"/>
              <w:rPr>
                <w:b/>
                <w:lang w:val="en-US"/>
              </w:rPr>
            </w:pPr>
            <w:r w:rsidRPr="000D35D4">
              <w:rPr>
                <w:b/>
                <w:lang w:val="en-US"/>
              </w:rPr>
              <w:t>Accuracy</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Noji</w:t>
            </w:r>
            <w:proofErr w:type="spellEnd"/>
            <w:r w:rsidRPr="000D35D4">
              <w:rPr>
                <w:lang w:val="en-US"/>
              </w:rPr>
              <w:t xml:space="preserve"> 2012</w:t>
            </w:r>
            <w:r w:rsidRPr="000D35D4">
              <w:rPr>
                <w:lang w:val="en-US"/>
              </w:rPr>
              <w:fldChar w:fldCharType="begin" w:fldLock="1"/>
            </w:r>
            <w:r w:rsidR="00625C5F">
              <w:rPr>
                <w:lang w:val="en-US"/>
              </w:rPr>
              <w:instrText>ADDIN CSL_CITATION { "citationItems" : [ { "id" : "ITEM-1",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"ITEM-1",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"mendeley" : { "formattedCitation" : "[4]", "plainTextFormattedCitation" : "[4]", "previouslyFormattedCitation" : "&lt;sup&gt;4&lt;/sup&gt;" }, "properties" : {  }, "schema" : "https://github.com/citation-style-language/schema/raw/master/csl-citation.json" }</w:instrText>
            </w:r>
            <w:r w:rsidRPr="000D35D4">
              <w:rPr>
                <w:lang w:val="en-US"/>
              </w:rPr>
              <w:fldChar w:fldCharType="separate"/>
            </w:r>
            <w:r w:rsidR="00625C5F" w:rsidRPr="00625C5F">
              <w:rPr>
                <w:noProof/>
                <w:lang w:val="en-US"/>
              </w:rPr>
              <w:t>[4]</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58</w:t>
            </w:r>
          </w:p>
        </w:tc>
        <w:tc>
          <w:tcPr>
            <w:tcW w:w="1134" w:type="dxa"/>
            <w:vAlign w:val="center"/>
          </w:tcPr>
          <w:p w:rsidR="004F7AFD" w:rsidRPr="000D35D4" w:rsidRDefault="004F7AFD" w:rsidP="004F7AFD">
            <w:pPr>
              <w:jc w:val="center"/>
              <w:rPr>
                <w:lang w:val="en-US"/>
              </w:rPr>
            </w:pPr>
            <w:r w:rsidRPr="000D35D4">
              <w:rPr>
                <w:lang w:val="en-US"/>
              </w:rPr>
              <w:t>32</w:t>
            </w:r>
          </w:p>
        </w:tc>
        <w:tc>
          <w:tcPr>
            <w:tcW w:w="993" w:type="dxa"/>
            <w:vAlign w:val="center"/>
          </w:tcPr>
          <w:p w:rsidR="004F7AFD" w:rsidRPr="000D35D4" w:rsidRDefault="004F7AFD" w:rsidP="004F7AFD">
            <w:pPr>
              <w:jc w:val="center"/>
              <w:rPr>
                <w:lang w:val="en-US"/>
              </w:rPr>
            </w:pPr>
            <w:r w:rsidRPr="000D35D4">
              <w:rPr>
                <w:lang w:val="en-US"/>
              </w:rPr>
              <w:t>9.7</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91</w:t>
            </w:r>
          </w:p>
        </w:tc>
        <w:tc>
          <w:tcPr>
            <w:tcW w:w="709" w:type="dxa"/>
            <w:vAlign w:val="center"/>
          </w:tcPr>
          <w:p w:rsidR="004F7AFD" w:rsidRPr="000D35D4" w:rsidRDefault="004F7AFD" w:rsidP="004F7AFD">
            <w:pPr>
              <w:jc w:val="center"/>
              <w:rPr>
                <w:lang w:val="en-US"/>
              </w:rPr>
            </w:pPr>
            <w:r w:rsidRPr="000D35D4">
              <w:rPr>
                <w:lang w:val="en-US"/>
              </w:rPr>
              <w:t>62</w:t>
            </w:r>
          </w:p>
        </w:tc>
        <w:tc>
          <w:tcPr>
            <w:tcW w:w="709" w:type="dxa"/>
            <w:vAlign w:val="center"/>
          </w:tcPr>
          <w:p w:rsidR="004F7AFD" w:rsidRPr="000D35D4" w:rsidRDefault="004F7AFD" w:rsidP="004F7AFD">
            <w:pPr>
              <w:jc w:val="center"/>
              <w:rPr>
                <w:lang w:val="en-US"/>
              </w:rPr>
            </w:pPr>
            <w:r w:rsidRPr="000D35D4">
              <w:rPr>
                <w:lang w:val="en-US"/>
              </w:rPr>
              <w:t>74</w:t>
            </w:r>
          </w:p>
        </w:tc>
        <w:tc>
          <w:tcPr>
            <w:tcW w:w="708" w:type="dxa"/>
            <w:vAlign w:val="center"/>
          </w:tcPr>
          <w:p w:rsidR="004F7AFD" w:rsidRPr="000D35D4" w:rsidRDefault="004F7AFD" w:rsidP="004F7AFD">
            <w:pPr>
              <w:jc w:val="center"/>
              <w:rPr>
                <w:lang w:val="en-US"/>
              </w:rPr>
            </w:pPr>
            <w:r w:rsidRPr="000D35D4">
              <w:rPr>
                <w:lang w:val="en-US"/>
              </w:rPr>
              <w:t>84</w:t>
            </w:r>
          </w:p>
        </w:tc>
        <w:tc>
          <w:tcPr>
            <w:tcW w:w="1134" w:type="dxa"/>
            <w:vAlign w:val="center"/>
          </w:tcPr>
          <w:p w:rsidR="004F7AFD" w:rsidRPr="000D35D4" w:rsidRDefault="004F7AFD" w:rsidP="004F7AFD">
            <w:pPr>
              <w:jc w:val="center"/>
              <w:rPr>
                <w:lang w:val="en-US"/>
              </w:rPr>
            </w:pPr>
            <w:r w:rsidRPr="000D35D4">
              <w:rPr>
                <w:lang w:val="en-US"/>
              </w:rPr>
              <w:t>78</w:t>
            </w:r>
          </w:p>
        </w:tc>
      </w:tr>
      <w:tr w:rsidR="004F7AFD" w:rsidRPr="000D35D4" w:rsidTr="004F7AFD">
        <w:trPr>
          <w:trHeight w:val="397"/>
        </w:trPr>
        <w:tc>
          <w:tcPr>
            <w:tcW w:w="1809" w:type="dxa"/>
            <w:vMerge w:val="restart"/>
            <w:vAlign w:val="center"/>
          </w:tcPr>
          <w:p w:rsidR="004F7AFD" w:rsidRPr="000D35D4" w:rsidRDefault="004F7AFD" w:rsidP="004F7AFD">
            <w:pPr>
              <w:rPr>
                <w:lang w:val="en-US"/>
              </w:rPr>
            </w:pPr>
            <w:proofErr w:type="spellStart"/>
            <w:r w:rsidRPr="000D35D4">
              <w:rPr>
                <w:lang w:val="en-US"/>
              </w:rPr>
              <w:t>Uemura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t>200</w:t>
            </w:r>
          </w:p>
        </w:tc>
        <w:tc>
          <w:tcPr>
            <w:tcW w:w="1134" w:type="dxa"/>
            <w:vMerge w:val="restart"/>
            <w:vAlign w:val="center"/>
          </w:tcPr>
          <w:p w:rsidR="004F7AFD" w:rsidRPr="000D35D4" w:rsidRDefault="004F7AFD" w:rsidP="004F7AFD">
            <w:pPr>
              <w:jc w:val="center"/>
              <w:rPr>
                <w:lang w:val="en-US"/>
              </w:rPr>
            </w:pPr>
            <w:r w:rsidRPr="000D35D4">
              <w:rPr>
                <w:lang w:val="en-US"/>
              </w:rPr>
              <w:t>15</w:t>
            </w:r>
          </w:p>
        </w:tc>
        <w:tc>
          <w:tcPr>
            <w:tcW w:w="993" w:type="dxa"/>
            <w:vAlign w:val="center"/>
          </w:tcPr>
          <w:p w:rsidR="004F7AFD" w:rsidRPr="000D35D4" w:rsidRDefault="004F7AFD" w:rsidP="004F7AFD">
            <w:pPr>
              <w:jc w:val="center"/>
              <w:rPr>
                <w:lang w:val="en-US"/>
              </w:rPr>
            </w:pPr>
            <w:r w:rsidRPr="000D35D4">
              <w:rPr>
                <w:lang w:val="en-US"/>
              </w:rPr>
              <w:t>9.8</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87</w:t>
            </w:r>
          </w:p>
        </w:tc>
        <w:tc>
          <w:tcPr>
            <w:tcW w:w="709" w:type="dxa"/>
            <w:vAlign w:val="center"/>
          </w:tcPr>
          <w:p w:rsidR="004F7AFD" w:rsidRPr="000D35D4" w:rsidRDefault="004F7AFD" w:rsidP="004F7AFD">
            <w:pPr>
              <w:jc w:val="center"/>
              <w:rPr>
                <w:lang w:val="en-US"/>
              </w:rPr>
            </w:pPr>
            <w:r w:rsidRPr="000D35D4">
              <w:rPr>
                <w:lang w:val="en-US"/>
              </w:rPr>
              <w:t>63</w:t>
            </w:r>
          </w:p>
        </w:tc>
        <w:tc>
          <w:tcPr>
            <w:tcW w:w="709" w:type="dxa"/>
            <w:vAlign w:val="center"/>
          </w:tcPr>
          <w:p w:rsidR="004F7AFD" w:rsidRPr="000D35D4" w:rsidRDefault="004F7AFD" w:rsidP="004F7AFD">
            <w:pPr>
              <w:jc w:val="center"/>
              <w:rPr>
                <w:lang w:val="en-US"/>
              </w:rPr>
            </w:pPr>
            <w:r w:rsidRPr="000D35D4">
              <w:rPr>
                <w:lang w:val="en-US"/>
              </w:rPr>
              <w:t>16</w:t>
            </w:r>
          </w:p>
        </w:tc>
        <w:tc>
          <w:tcPr>
            <w:tcW w:w="708" w:type="dxa"/>
            <w:vAlign w:val="center"/>
          </w:tcPr>
          <w:p w:rsidR="004F7AFD" w:rsidRPr="000D35D4" w:rsidRDefault="004F7AFD" w:rsidP="004F7AFD">
            <w:pPr>
              <w:jc w:val="center"/>
              <w:rPr>
                <w:lang w:val="en-US"/>
              </w:rPr>
            </w:pPr>
            <w:r w:rsidRPr="000D35D4">
              <w:rPr>
                <w:lang w:val="en-US"/>
              </w:rPr>
              <w:t>98</w:t>
            </w:r>
          </w:p>
        </w:tc>
        <w:tc>
          <w:tcPr>
            <w:tcW w:w="1134" w:type="dxa"/>
            <w:vAlign w:val="center"/>
          </w:tcPr>
          <w:p w:rsidR="004F7AFD" w:rsidRPr="000D35D4" w:rsidRDefault="004F7AFD" w:rsidP="004F7AFD">
            <w:pPr>
              <w:jc w:val="center"/>
              <w:rPr>
                <w:lang w:val="en-US"/>
              </w:rPr>
            </w:pPr>
            <w:r w:rsidRPr="000D35D4">
              <w:rPr>
                <w:lang w:val="en-US"/>
              </w:rPr>
              <w:t>65</w:t>
            </w:r>
          </w:p>
        </w:tc>
      </w:tr>
      <w:tr w:rsidR="004F7AFD" w:rsidRPr="000D35D4"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0D35D4">
              <w:rPr>
                <w:lang w:val="en-US"/>
              </w:rPr>
              <w:t>9.3</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73</w:t>
            </w:r>
          </w:p>
        </w:tc>
        <w:tc>
          <w:tcPr>
            <w:tcW w:w="709" w:type="dxa"/>
            <w:vAlign w:val="center"/>
          </w:tcPr>
          <w:p w:rsidR="004F7AFD" w:rsidRPr="000D35D4" w:rsidRDefault="004F7AFD" w:rsidP="004F7AFD">
            <w:pPr>
              <w:jc w:val="center"/>
              <w:rPr>
                <w:lang w:val="en-US"/>
              </w:rPr>
            </w:pPr>
            <w:r w:rsidRPr="000D35D4">
              <w:rPr>
                <w:lang w:val="en-US"/>
              </w:rPr>
              <w:t>82</w:t>
            </w:r>
          </w:p>
        </w:tc>
        <w:tc>
          <w:tcPr>
            <w:tcW w:w="709" w:type="dxa"/>
            <w:vAlign w:val="center"/>
          </w:tcPr>
          <w:p w:rsidR="004F7AFD" w:rsidRPr="000D35D4" w:rsidRDefault="004F7AFD" w:rsidP="004F7AFD">
            <w:pPr>
              <w:jc w:val="center"/>
              <w:rPr>
                <w:lang w:val="en-US"/>
              </w:rPr>
            </w:pPr>
            <w:r w:rsidRPr="000D35D4">
              <w:rPr>
                <w:lang w:val="en-US"/>
              </w:rPr>
              <w:t>25</w:t>
            </w:r>
          </w:p>
        </w:tc>
        <w:tc>
          <w:tcPr>
            <w:tcW w:w="708" w:type="dxa"/>
            <w:vAlign w:val="center"/>
          </w:tcPr>
          <w:p w:rsidR="004F7AFD" w:rsidRPr="000D35D4" w:rsidRDefault="004F7AFD" w:rsidP="004F7AFD">
            <w:pPr>
              <w:jc w:val="center"/>
              <w:rPr>
                <w:lang w:val="en-US"/>
              </w:rPr>
            </w:pPr>
            <w:r w:rsidRPr="000D35D4">
              <w:rPr>
                <w:lang w:val="en-US"/>
              </w:rPr>
              <w:t>97</w:t>
            </w:r>
          </w:p>
        </w:tc>
        <w:tc>
          <w:tcPr>
            <w:tcW w:w="1134" w:type="dxa"/>
            <w:vAlign w:val="center"/>
          </w:tcPr>
          <w:p w:rsidR="004F7AFD" w:rsidRPr="000D35D4" w:rsidRDefault="004F7AFD" w:rsidP="004F7AFD">
            <w:pPr>
              <w:jc w:val="center"/>
              <w:rPr>
                <w:lang w:val="en-US"/>
              </w:rPr>
            </w:pPr>
            <w:r w:rsidRPr="000D35D4">
              <w:rPr>
                <w:lang w:val="en-US"/>
              </w:rPr>
              <w:t>82</w:t>
            </w:r>
          </w:p>
        </w:tc>
      </w:tr>
      <w:tr w:rsidR="004F7AFD" w:rsidRPr="007F78C3"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Kosaka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"ITEM-1",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"mendeley" : { "formattedCitation" : "[8]", "plainTextFormattedCitation" : "[8]", "previouslyFormattedCitation" : "&lt;sup&gt;8&lt;/sup&gt;" }, "properties" : {  }, "schema" : "https://github.com/citation-style-language/schema/raw/master/csl-citation.json" }</w:instrText>
            </w:r>
            <w:r w:rsidRPr="000D35D4">
              <w:rPr>
                <w:lang w:val="en-US"/>
              </w:rPr>
              <w:fldChar w:fldCharType="separate"/>
            </w:r>
            <w:r w:rsidR="00625C5F" w:rsidRPr="00625C5F">
              <w:rPr>
                <w:noProof/>
                <w:lang w:val="en-US"/>
              </w:rPr>
              <w:t>[8]</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r w:rsidRPr="000D35D4">
              <w:rPr>
                <w:lang w:val="en-US"/>
              </w:rPr>
              <w:t>32</w:t>
            </w:r>
          </w:p>
        </w:tc>
        <w:tc>
          <w:tcPr>
            <w:tcW w:w="993" w:type="dxa"/>
            <w:vAlign w:val="center"/>
          </w:tcPr>
          <w:p w:rsidR="004F7AFD" w:rsidRPr="000D35D4" w:rsidRDefault="004F7AFD" w:rsidP="004F7AFD">
            <w:pPr>
              <w:jc w:val="center"/>
              <w:rPr>
                <w:lang w:val="en-US"/>
              </w:rPr>
            </w:pPr>
            <w:r w:rsidRPr="000D35D4">
              <w:rPr>
                <w:lang w:val="en-US"/>
              </w:rPr>
              <w:t>7.4</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81</w:t>
            </w:r>
          </w:p>
        </w:tc>
        <w:tc>
          <w:tcPr>
            <w:tcW w:w="709" w:type="dxa"/>
            <w:vAlign w:val="center"/>
          </w:tcPr>
          <w:p w:rsidR="004F7AFD" w:rsidRPr="000D35D4" w:rsidRDefault="004F7AFD" w:rsidP="004F7AFD">
            <w:pPr>
              <w:jc w:val="center"/>
              <w:rPr>
                <w:lang w:val="en-US"/>
              </w:rPr>
            </w:pPr>
            <w:r w:rsidRPr="000D35D4">
              <w:rPr>
                <w:lang w:val="en-US"/>
              </w:rPr>
              <w:t>71</w:t>
            </w:r>
          </w:p>
        </w:tc>
        <w:tc>
          <w:tcPr>
            <w:tcW w:w="709" w:type="dxa"/>
            <w:vAlign w:val="center"/>
          </w:tcPr>
          <w:p w:rsidR="004F7AFD" w:rsidRPr="000D35D4" w:rsidRDefault="004F7AFD" w:rsidP="004F7AFD">
            <w:pPr>
              <w:jc w:val="center"/>
              <w:rPr>
                <w:lang w:val="en-US"/>
              </w:rPr>
            </w:pPr>
            <w:r w:rsidRPr="000D35D4">
              <w:rPr>
                <w:lang w:val="en-US"/>
              </w:rPr>
              <w:t>57</w:t>
            </w:r>
          </w:p>
        </w:tc>
        <w:tc>
          <w:tcPr>
            <w:tcW w:w="708" w:type="dxa"/>
            <w:vAlign w:val="center"/>
          </w:tcPr>
          <w:p w:rsidR="004F7AFD" w:rsidRPr="000D35D4" w:rsidRDefault="004F7AFD" w:rsidP="004F7AFD">
            <w:pPr>
              <w:jc w:val="center"/>
              <w:rPr>
                <w:lang w:val="en-US"/>
              </w:rPr>
            </w:pPr>
            <w:r w:rsidRPr="000D35D4">
              <w:rPr>
                <w:lang w:val="en-US"/>
              </w:rPr>
              <w:t>89</w:t>
            </w:r>
          </w:p>
        </w:tc>
        <w:tc>
          <w:tcPr>
            <w:tcW w:w="1134" w:type="dxa"/>
            <w:vAlign w:val="center"/>
          </w:tcPr>
          <w:p w:rsidR="004F7AFD" w:rsidRPr="000D35D4" w:rsidRDefault="004F7AFD" w:rsidP="004F7AFD">
            <w:pPr>
              <w:jc w:val="center"/>
              <w:rPr>
                <w:lang w:val="en-US"/>
              </w:rPr>
            </w:pPr>
            <w:r w:rsidRPr="000D35D4">
              <w:rPr>
                <w:lang w:val="en-US"/>
              </w:rPr>
              <w:t>90</w:t>
            </w:r>
          </w:p>
        </w:tc>
      </w:tr>
      <w:tr w:rsidR="004F7AFD" w:rsidRPr="007F78C3" w:rsidTr="004F7AFD">
        <w:trPr>
          <w:trHeight w:val="340"/>
        </w:trPr>
        <w:tc>
          <w:tcPr>
            <w:tcW w:w="9180" w:type="dxa"/>
            <w:gridSpan w:val="10"/>
            <w:vAlign w:val="center"/>
          </w:tcPr>
          <w:p w:rsidR="004F7AFD" w:rsidRPr="000D35D4" w:rsidRDefault="004F7AFD" w:rsidP="004F7AFD">
            <w:pPr>
              <w:rPr>
                <w:i/>
                <w:sz w:val="20"/>
                <w:lang w:val="en-US"/>
              </w:rPr>
            </w:pPr>
            <w:r w:rsidRPr="000D35D4">
              <w:rPr>
                <w:i/>
                <w:sz w:val="20"/>
                <w:lang w:val="en-US"/>
              </w:rPr>
              <w:t xml:space="preserve">N, total number of patients included in analysis; severe PF, severe pancreatic fistula (i.e. ISGPS grade B/C); Day, postoperative day; </w:t>
            </w:r>
            <w:proofErr w:type="spellStart"/>
            <w:r w:rsidRPr="000D35D4">
              <w:rPr>
                <w:i/>
                <w:sz w:val="20"/>
                <w:lang w:val="en-US"/>
              </w:rPr>
              <w:t>sens</w:t>
            </w:r>
            <w:proofErr w:type="spellEnd"/>
            <w:r w:rsidRPr="000D35D4">
              <w:rPr>
                <w:i/>
                <w:sz w:val="20"/>
                <w:lang w:val="en-US"/>
              </w:rPr>
              <w:t xml:space="preserve">, sensitivity; spec, specificity; PPV, positive predictive value; NPV, negative predictive value; Accuracy was calculated by dividing number of correct assessments by total number of assessments. The study by </w:t>
            </w:r>
            <w:proofErr w:type="spellStart"/>
            <w:r w:rsidRPr="000D35D4">
              <w:rPr>
                <w:i/>
                <w:sz w:val="20"/>
                <w:lang w:val="en-US"/>
              </w:rPr>
              <w:t>Uemura</w:t>
            </w:r>
            <w:proofErr w:type="spellEnd"/>
            <w:r w:rsidRPr="000D35D4">
              <w:rPr>
                <w:i/>
                <w:sz w:val="20"/>
                <w:lang w:val="en-US"/>
              </w:rPr>
              <w:t xml:space="preserve"> et al.</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r w:rsidRPr="000D35D4">
              <w:rPr>
                <w:i/>
                <w:sz w:val="20"/>
                <w:lang w:val="en-US"/>
              </w:rPr>
              <w:t xml:space="preserve"> evaluated two cut off points on different postoperative days. </w:t>
            </w:r>
          </w:p>
          <w:p w:rsidR="004F7AFD" w:rsidRPr="000D35D4" w:rsidRDefault="004F7AFD" w:rsidP="004F7AFD">
            <w:pPr>
              <w:rPr>
                <w:i/>
                <w:sz w:val="20"/>
                <w:lang w:val="en-US"/>
              </w:rPr>
            </w:pPr>
            <w:r w:rsidRPr="000D35D4">
              <w:rPr>
                <w:i/>
                <w:sz w:val="20"/>
                <w:lang w:val="en-US"/>
              </w:rPr>
              <w:t>* Values in cells x10</w:t>
            </w:r>
            <w:r w:rsidRPr="000D35D4">
              <w:rPr>
                <w:i/>
                <w:sz w:val="20"/>
                <w:vertAlign w:val="superscript"/>
                <w:lang w:val="en-US"/>
              </w:rPr>
              <w:t>9</w:t>
            </w:r>
            <w:r w:rsidRPr="000D35D4">
              <w:rPr>
                <w:i/>
                <w:sz w:val="20"/>
                <w:lang w:val="en-US"/>
              </w:rPr>
              <w:t xml:space="preserve"> per liter </w:t>
            </w:r>
          </w:p>
        </w:tc>
      </w:tr>
    </w:tbl>
    <w:p w:rsidR="004F7AFD" w:rsidRPr="000D35D4" w:rsidRDefault="004F7AFD" w:rsidP="004F7AFD">
      <w:pPr>
        <w:spacing w:after="0"/>
        <w:rPr>
          <w:lang w:val="en-US"/>
        </w:rPr>
      </w:pPr>
    </w:p>
    <w:p w:rsidR="004F7AFD" w:rsidRPr="000D35D4" w:rsidRDefault="004F7AFD" w:rsidP="004F7AFD">
      <w:pPr>
        <w:spacing w:after="0"/>
        <w:jc w:val="both"/>
        <w:rPr>
          <w:lang w:val="en-US"/>
        </w:rPr>
      </w:pPr>
      <w:r w:rsidRPr="000D35D4">
        <w:rPr>
          <w:lang w:val="en-US"/>
        </w:rPr>
        <w:t>The proposed cut-offs are all relatively low and sometimes within normal ranges of WBC. Therefore, we chose to combine WBC with other two SIRS criteria (i.e. heart rate &gt;90/min and respiratory rate &gt;20/min for body temperature is evaluated as separate variable). Even though there is no evidence showing the direct relation between SIRS and severe pancreatic fistula, SIRS is widely accepted as an early marker for sepsis and includes readily available parameters</w:t>
      </w:r>
      <w:r w:rsidRPr="000D35D4">
        <w:rPr>
          <w:lang w:val="en-US"/>
        </w:rPr>
        <w:fldChar w:fldCharType="begin" w:fldLock="1"/>
      </w:r>
      <w:r w:rsidR="00625C5F">
        <w:rPr>
          <w:lang w:val="en-US"/>
        </w:rPr>
        <w:instrText>ADDIN CSL_CITATION { "citationItems" : [ { "id" : "ITEM-1", "itemData" : { "DOI" : "10.1378/chest.101.6.1644", "author" : [ { "dropping-particle" : "", "family" : "Bone", "given" : "Roger C.", "non-dropping-particle" : "", "parse-names" : false, "suffix" : "" }, { "dropping-particle" : "", "family" : "Balk", "given" : "Robert A.", "non-dropping-particle" : "", "parse-names" : false, "suffix" : "" }, { "dropping-particle" : "", "family" : "Cerra", "given" : "Frank B.", "non-dropping-particle" : "", "parse-names" : false, "suffix" : "" }, { "dropping-particle" : "", "family" : "Dellinger", "given" : "R. Phillip", "non-dropping-particle" : "", "parse-names" : false, "suffix" : "" }, { "dropping-particle" : "", "family" : "Fein", "given" : "Alan M.", "non-dropping-particle" : "", "parse-names" : false, "suffix" : "" }, { "dropping-particle" : "", "family" : "Knaus", "given" : "William A.", "non-dropping-particle" : "", "parse-names" : false, "suffix" : "" }, { "dropping-particle" : "", "family" : "Schein", "given" : "Roland M.H.", "non-dropping-particle" : "", "parse-names" : false, "suffix" : "" }, { "dropping-particle" : "", "family" : "Sibbald", "given" : "William J.", "non-dropping-particle" : "", "parse-names" : false, "suffix" : "" } ], "container-title" : "Chest", "id" : "ITEM-1", "issue" : "6", "issued" : { "date-parts" : [ [ "1992", "6" ] ] }, "page" : "1644-1655", "publisher" : "American College of Chest Physicians", "title" : "Definitions for Sepsis and Organ Failure and Guidelines for the Use of Innovative Therapies in Sepsis", "type" : "article-journal", "volume" : "101" }, "uris" : [ "http://www.mendeley.com/documents/?uuid=cfc2e055-0368-36df-8684-8c99b3a1be33" ] } ], "mendeley" : { "formattedCitation" : "[15]", "plainTextFormattedCitation" : "[15]", "previouslyFormattedCitation" : "&lt;sup&gt;15&lt;/sup&gt;" }, "properties" : {  }, "schema" : "https://github.com/citation-style-language/schema/raw/master/csl-citation.json" }</w:instrText>
      </w:r>
      <w:r w:rsidRPr="000D35D4">
        <w:rPr>
          <w:lang w:val="en-US"/>
        </w:rPr>
        <w:fldChar w:fldCharType="separate"/>
      </w:r>
      <w:r w:rsidR="00625C5F" w:rsidRPr="00625C5F">
        <w:rPr>
          <w:noProof/>
          <w:lang w:val="en-US"/>
        </w:rPr>
        <w:t>[15]</w:t>
      </w:r>
      <w:r w:rsidRPr="000D35D4">
        <w:rPr>
          <w:lang w:val="en-US"/>
        </w:rPr>
        <w:fldChar w:fldCharType="end"/>
      </w:r>
      <w:r w:rsidRPr="000D35D4">
        <w:rPr>
          <w:lang w:val="en-US"/>
        </w:rPr>
        <w:t xml:space="preserve">. SIRS cut-off points were included in the proposed algorithm. </w:t>
      </w:r>
    </w:p>
    <w:p w:rsidR="004F7AFD" w:rsidRPr="000D35D4" w:rsidRDefault="004F7AFD" w:rsidP="004F7AFD">
      <w:pPr>
        <w:spacing w:after="0"/>
        <w:jc w:val="both"/>
        <w:rPr>
          <w:lang w:val="en-US"/>
        </w:rPr>
      </w:pPr>
    </w:p>
    <w:p w:rsidR="004F7AFD" w:rsidRPr="000D35D4" w:rsidRDefault="004F7AFD" w:rsidP="004F7AFD">
      <w:pPr>
        <w:spacing w:after="0"/>
        <w:jc w:val="both"/>
        <w:rPr>
          <w:lang w:val="en-US"/>
        </w:rPr>
      </w:pPr>
      <w:r w:rsidRPr="000D35D4">
        <w:rPr>
          <w:i/>
          <w:lang w:val="en-US"/>
        </w:rPr>
        <w:t>NO other clear focus of major infection</w:t>
      </w:r>
    </w:p>
    <w:p w:rsidR="004F7AFD" w:rsidRPr="000D35D4" w:rsidRDefault="004F7AFD" w:rsidP="004F7AFD">
      <w:pPr>
        <w:spacing w:after="0"/>
        <w:jc w:val="both"/>
        <w:rPr>
          <w:lang w:val="en-US"/>
        </w:rPr>
      </w:pPr>
      <w:r w:rsidRPr="000D35D4">
        <w:rPr>
          <w:lang w:val="en-US"/>
        </w:rPr>
        <w:t xml:space="preserve">An abdominal CT scan is indicated if CRP levels are raised above the proposed thresholds (i.e. &gt;300; &gt;270 or &gt;100 without significant improvement) and there is no other very clear focus for major infection that could explain the deviation from normal value. The decision on whether another focus is reason enough not to perform an abdominal CT scan is left to the local pancreatic surgeon, who should be reminded that pulmonary </w:t>
      </w:r>
      <w:r>
        <w:rPr>
          <w:lang w:val="en-US"/>
        </w:rPr>
        <w:t>pathology</w:t>
      </w:r>
      <w:r w:rsidRPr="000D35D4">
        <w:rPr>
          <w:lang w:val="en-US"/>
        </w:rPr>
        <w:t xml:space="preserve"> could be secondary to abdominal problems. If drain amylase is elevated, an abdominal CT scan should be performed even if </w:t>
      </w:r>
      <w:r>
        <w:rPr>
          <w:lang w:val="en-US"/>
        </w:rPr>
        <w:t>an</w:t>
      </w:r>
      <w:r w:rsidRPr="000D35D4">
        <w:rPr>
          <w:lang w:val="en-US"/>
        </w:rPr>
        <w:t xml:space="preserve">other focus for infection is </w:t>
      </w:r>
      <w:r>
        <w:rPr>
          <w:lang w:val="en-US"/>
        </w:rPr>
        <w:t>suspected</w:t>
      </w:r>
      <w:r w:rsidRPr="000D35D4">
        <w:rPr>
          <w:lang w:val="en-US"/>
        </w:rPr>
        <w:t xml:space="preserve">. </w:t>
      </w:r>
    </w:p>
    <w:p w:rsidR="004F7AFD" w:rsidRPr="000D35D4" w:rsidRDefault="004F7AFD" w:rsidP="004F7AFD">
      <w:pPr>
        <w:spacing w:after="0"/>
        <w:rPr>
          <w:lang w:val="en-US"/>
        </w:rPr>
      </w:pPr>
    </w:p>
    <w:p w:rsidR="004F7AFD" w:rsidRPr="000D35D4" w:rsidRDefault="004F7AFD" w:rsidP="004F7AFD">
      <w:pPr>
        <w:spacing w:after="0"/>
        <w:rPr>
          <w:i/>
          <w:lang w:val="en-US"/>
        </w:rPr>
      </w:pPr>
      <w:r w:rsidRPr="000D35D4">
        <w:rPr>
          <w:i/>
          <w:lang w:val="en-US"/>
        </w:rPr>
        <w:t xml:space="preserve">Clinical judgment pancreatic surgeon </w:t>
      </w:r>
    </w:p>
    <w:p w:rsidR="004F7AFD" w:rsidRPr="000D35D4" w:rsidRDefault="004F7AFD" w:rsidP="004F7AFD">
      <w:pPr>
        <w:spacing w:after="0"/>
        <w:jc w:val="both"/>
        <w:rPr>
          <w:lang w:val="en-US"/>
        </w:rPr>
      </w:pPr>
      <w:r w:rsidRPr="000D35D4">
        <w:rPr>
          <w:lang w:val="en-US"/>
        </w:rPr>
        <w:lastRenderedPageBreak/>
        <w:t>There are some clinical signs that cannot be categorized and are not included in this algorithm. Therefore, daily evaluation by a pancreatic surgeon is required to evaluate is there is any other indication for abdominal CT scan.</w:t>
      </w:r>
    </w:p>
    <w:p w:rsidR="004F7AFD" w:rsidRPr="000D35D4" w:rsidRDefault="004F7AFD" w:rsidP="004F7AFD">
      <w:pPr>
        <w:spacing w:after="0"/>
        <w:jc w:val="both"/>
        <w:rPr>
          <w:lang w:val="en-US"/>
        </w:rPr>
        <w:sectPr w:rsidR="004F7AFD" w:rsidRPr="000D35D4">
          <w:pgSz w:w="11906" w:h="16838"/>
          <w:pgMar w:top="1417" w:right="1417" w:bottom="1417" w:left="1417" w:header="708" w:footer="708" w:gutter="0"/>
          <w:cols w:space="708"/>
          <w:docGrid w:linePitch="360"/>
        </w:sectPr>
      </w:pPr>
      <w:r w:rsidRPr="000D35D4">
        <w:rPr>
          <w:lang w:val="en-US"/>
        </w:rPr>
        <w:t xml:space="preserve"> </w:t>
      </w:r>
    </w:p>
    <w:p w:rsidR="004F7AFD" w:rsidRPr="000D35D4" w:rsidRDefault="004F7AFD" w:rsidP="004F7AFD">
      <w:pPr>
        <w:spacing w:after="0"/>
        <w:jc w:val="both"/>
        <w:rPr>
          <w:lang w:val="en-US"/>
        </w:rPr>
      </w:pPr>
      <w:r w:rsidRPr="000D35D4">
        <w:rPr>
          <w:b/>
          <w:noProof/>
          <w:lang w:eastAsia="nl-NL"/>
        </w:rPr>
        <w:lastRenderedPageBreak/>
        <w:drawing>
          <wp:inline distT="0" distB="0" distL="0" distR="0" wp14:anchorId="164E3988" wp14:editId="5201D831">
            <wp:extent cx="5760720" cy="3462655"/>
            <wp:effectExtent l="0" t="0" r="0" b="444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3462655"/>
                    </a:xfrm>
                    <a:prstGeom prst="rect">
                      <a:avLst/>
                    </a:prstGeom>
                  </pic:spPr>
                </pic:pic>
              </a:graphicData>
            </a:graphic>
          </wp:inline>
        </w:drawing>
      </w:r>
    </w:p>
    <w:p w:rsidR="004F7AFD" w:rsidRPr="000D35D4" w:rsidRDefault="004F7AFD" w:rsidP="004F7AFD">
      <w:pPr>
        <w:spacing w:after="0"/>
        <w:jc w:val="both"/>
        <w:rPr>
          <w:lang w:val="en-US"/>
        </w:rPr>
      </w:pPr>
    </w:p>
    <w:p w:rsidR="004F7AFD" w:rsidRPr="000D35D4" w:rsidRDefault="004F7AFD" w:rsidP="004F7AFD">
      <w:pPr>
        <w:spacing w:after="0"/>
        <w:jc w:val="both"/>
        <w:rPr>
          <w:b/>
          <w:lang w:val="en-US"/>
        </w:rPr>
      </w:pPr>
      <w:r w:rsidRPr="000D35D4">
        <w:rPr>
          <w:b/>
          <w:lang w:val="en-US"/>
        </w:rPr>
        <w:t>General considerations when evaluating an abdominal CT scan</w:t>
      </w:r>
    </w:p>
    <w:p w:rsidR="004F7AFD" w:rsidRPr="000D35D4" w:rsidRDefault="004F7AFD" w:rsidP="004F7AFD">
      <w:pPr>
        <w:numPr>
          <w:ilvl w:val="0"/>
          <w:numId w:val="11"/>
        </w:numPr>
        <w:spacing w:after="0"/>
        <w:contextualSpacing/>
        <w:jc w:val="both"/>
        <w:rPr>
          <w:lang w:val="en-US"/>
        </w:rPr>
      </w:pPr>
      <w:r w:rsidRPr="000D35D4">
        <w:rPr>
          <w:lang w:val="en-US"/>
        </w:rPr>
        <w:t xml:space="preserve">All CT scans </w:t>
      </w:r>
      <w:r>
        <w:rPr>
          <w:lang w:val="en-US"/>
        </w:rPr>
        <w:t>are</w:t>
      </w:r>
      <w:r w:rsidRPr="000D35D4">
        <w:rPr>
          <w:lang w:val="en-US"/>
        </w:rPr>
        <w:t xml:space="preserve"> assessed systematically by a dedicated abdominal radiologist according to the predefined form (see APPENDIX 4 included in the study protocol)</w:t>
      </w:r>
    </w:p>
    <w:p w:rsidR="004F7AFD" w:rsidRPr="000D35D4" w:rsidRDefault="004F7AFD" w:rsidP="004F7AFD">
      <w:pPr>
        <w:numPr>
          <w:ilvl w:val="0"/>
          <w:numId w:val="11"/>
        </w:numPr>
        <w:spacing w:after="0"/>
        <w:contextualSpacing/>
        <w:jc w:val="both"/>
        <w:rPr>
          <w:lang w:val="en-US"/>
        </w:rPr>
      </w:pPr>
      <w:r w:rsidRPr="000D35D4">
        <w:rPr>
          <w:lang w:val="en-US"/>
        </w:rPr>
        <w:t>This algorithm should be used to evaluate the indication for (invasive) intervention for pancreatic fistula. This decision should be made in consensus with the pancreatic surgeon, radiologist and interventional radiologists</w:t>
      </w:r>
    </w:p>
    <w:p w:rsidR="004F7AFD" w:rsidRPr="000D35D4" w:rsidRDefault="004F7AFD" w:rsidP="004F7AFD">
      <w:pPr>
        <w:numPr>
          <w:ilvl w:val="0"/>
          <w:numId w:val="11"/>
        </w:numPr>
        <w:spacing w:after="0"/>
        <w:contextualSpacing/>
        <w:jc w:val="both"/>
        <w:rPr>
          <w:lang w:val="en-US"/>
        </w:rPr>
      </w:pPr>
      <w:r w:rsidRPr="000D35D4">
        <w:rPr>
          <w:lang w:val="en-US"/>
        </w:rPr>
        <w:t xml:space="preserve">Pancreatic fistula should </w:t>
      </w:r>
      <w:r>
        <w:rPr>
          <w:lang w:val="en-US"/>
        </w:rPr>
        <w:t>preferably</w:t>
      </w:r>
      <w:r w:rsidRPr="000D35D4">
        <w:rPr>
          <w:lang w:val="en-US"/>
        </w:rPr>
        <w:t xml:space="preserve"> be managed through minimally invasive percutaneous drainage. </w:t>
      </w:r>
      <w:proofErr w:type="spellStart"/>
      <w:r w:rsidRPr="000D35D4">
        <w:rPr>
          <w:lang w:val="en-US"/>
        </w:rPr>
        <w:t>Relaparotomy</w:t>
      </w:r>
      <w:proofErr w:type="spellEnd"/>
      <w:r w:rsidRPr="000D35D4">
        <w:rPr>
          <w:lang w:val="en-US"/>
        </w:rPr>
        <w:t xml:space="preserve"> should only be considered in patients with ongoing clinical deterioration with no options for minimally invasive interventions</w:t>
      </w:r>
    </w:p>
    <w:p w:rsidR="004F7AFD" w:rsidRPr="000D35D4" w:rsidRDefault="004F7AFD" w:rsidP="004F7AFD">
      <w:pPr>
        <w:numPr>
          <w:ilvl w:val="0"/>
          <w:numId w:val="11"/>
        </w:numPr>
        <w:spacing w:after="0"/>
        <w:contextualSpacing/>
        <w:jc w:val="both"/>
        <w:rPr>
          <w:lang w:val="en-US"/>
        </w:rPr>
      </w:pPr>
      <w:r w:rsidRPr="000D35D4">
        <w:rPr>
          <w:lang w:val="en-US"/>
        </w:rPr>
        <w:t xml:space="preserve">A 24/7, online, nationwide, multidisciplinary expert panel is available to aid difficult clinical decisions on indication and feasibility of invasive interventions </w:t>
      </w:r>
    </w:p>
    <w:p w:rsidR="004F7AFD" w:rsidRPr="000D35D4" w:rsidRDefault="004F7AFD" w:rsidP="004F7AFD">
      <w:pPr>
        <w:numPr>
          <w:ilvl w:val="0"/>
          <w:numId w:val="11"/>
        </w:numPr>
        <w:spacing w:after="0"/>
        <w:contextualSpacing/>
        <w:jc w:val="both"/>
        <w:rPr>
          <w:lang w:val="en-US"/>
        </w:rPr>
      </w:pPr>
      <w:r w:rsidRPr="000D35D4">
        <w:rPr>
          <w:lang w:val="en-US"/>
        </w:rPr>
        <w:t>Management of other complications (i.e. not being pancreatic fistula) are not within the scope of this algorithm and are therefore left to discretion of the local clinicians</w:t>
      </w:r>
    </w:p>
    <w:p w:rsidR="004F7AFD" w:rsidRPr="000D35D4" w:rsidRDefault="004F7AFD" w:rsidP="004F7AFD">
      <w:pPr>
        <w:spacing w:after="0"/>
        <w:jc w:val="both"/>
        <w:rPr>
          <w:lang w:val="en-US"/>
        </w:rPr>
      </w:pPr>
    </w:p>
    <w:p w:rsidR="004F7AFD" w:rsidRPr="000D35D4" w:rsidRDefault="004F7AFD" w:rsidP="004F7AFD">
      <w:pPr>
        <w:spacing w:after="0"/>
        <w:jc w:val="both"/>
        <w:rPr>
          <w:i/>
          <w:lang w:val="en-US"/>
        </w:rPr>
      </w:pPr>
      <w:r w:rsidRPr="000D35D4">
        <w:rPr>
          <w:i/>
          <w:lang w:val="en-US"/>
        </w:rPr>
        <w:t>Suspicion of pancreatic fistula</w:t>
      </w:r>
    </w:p>
    <w:p w:rsidR="004F7AFD" w:rsidRPr="000D35D4" w:rsidRDefault="004F7AFD" w:rsidP="004F7AFD">
      <w:pPr>
        <w:spacing w:after="0"/>
        <w:jc w:val="both"/>
        <w:rPr>
          <w:lang w:val="en-US"/>
        </w:rPr>
      </w:pPr>
      <w:r w:rsidRPr="000D35D4">
        <w:rPr>
          <w:lang w:val="en-US"/>
        </w:rPr>
        <w:t>The suspicion of severe pancreatic fistula is based both on clinical and radiological parameters</w:t>
      </w:r>
      <w:r w:rsidRPr="000D35D4">
        <w:rPr>
          <w:lang w:val="en-US"/>
        </w:rPr>
        <w:fldChar w:fldCharType="begin" w:fldLock="1"/>
      </w:r>
      <w:r w:rsidR="00625C5F">
        <w:rPr>
          <w:lang w:val="en-US"/>
        </w:rPr>
        <w:instrText>ADDIN CSL_CITATION { "citationItems" : [ { "id" : "ITEM-1", "itemData" : { "DOI" : "10.2214/AJR.08.1800", "ISSN" : "1546-3141", "PMID" : "19696255", "abstract" : "OBJECTIVE: The purpose of this study was to evaluate the sensitivity and specificity of routine performance of CT on postoperative day 7 in patients at high risk of pancreatic fistula after pancreaticoduodenectomy. MATERIALS AND METHODS: Two radiologists analyzed images from CT examinations of 50 patients with soft pancreas 7 days after pancreaticoduodenectomy. Pancreatic fistula was defined at CT as a fluid collection close to the pancreaticogastric or pancreaticojejunal anastomosis. Clinicobiologic criteria for the diagnosis of pancreatic fistula were drain output of any measurable volume of fluid on or after postoperative day 3 that had an amylase content more than three times the serum amylase activity. The final diagnosis of pancreatic fistula was rendered on the basis of clinicobiologic data at hospital discharge or at first readmission. RESULTS: At hospital discharge or at first readmission, 27 of 50 patients (54%) had a pancreatic fistula. On postoperative day 7, 30 patients (60%) had a total of 51 fluid collections, and CT showed a fluid collection close to the pancreaticogastric or pancreaticojejunal anastomosis in 21 of 51 cases. CT had a sensitivity of 63% (17/27 patients) and a specificity of 83% (19/23 patients) for the diagnosis of pancreatic fistula with four false-positive and 10 false-negative findings. The diagnosis of pancreatic fistula on the basis of clinicobiologic criteria on postoperative day 7 was made in 22 of 27 patients (81%), whereas five cases were false-negative. Four of these patients had CT evidence of pancreatic fistula. CONCLUSION: In patients at high risk who have undergone pancreaticoduodenectomy, systematic postoperative CT may be proposed as a complementary tool in the diagnosis of pancreatic fistula, particularly for detection of clinically occult pancreatic fistula.", "author" : [ { "dropping-particle" : "", "family" : "Bruno", "given" : "Onorina", "non-dropping-particle" : "", "parse-names" : false, "suffix" : "" }, { "dropping-particle" : "", "family" : "Brancatelli", "given" : "Giuseppe", "non-dropping-particle" : "", "parse-names" : false, "suffix" : "" }, { "dropping-particle" : "", "family" : "Sauvanet", "given" : "Alain", "non-dropping-particle" : "", "parse-names" : false, "suffix" : "" }, { "dropping-particle" : "", "family" : "Vullierme", "given" : "Marie Pierre", "non-dropping-particle" : "", "parse-names" : false, "suffix" : "" }, { "dropping-particle" : "", "family" : "Barrau", "given" : "Vincent", "non-dropping-particle" : "", "parse-names" : false, "suffix" : "" }, { "dropping-particle" : "", "family" : "Vilgrain", "given" : "Val\u00e9rie", "non-dropping-particle" : "", "parse-names" : false, "suffix" : "" } ], "container-title" : "American Journal of Roentgenology", "id" : "ITEM-1", "issue" : "3", "issued" : { "date-parts" : [ [ "2009", "9" ] ] }, "page" : "W175-80", "title" : "Utility of CT in the diagnosis of pancreatic fistula after pancreaticoduodenectomy in patients with soft pancreas.", "type" : "article-journal", "volume" : "193" }, "uris" : [ "http://www.mendeley.com/documents/?uuid=0a35b1dc-db4e-433e-b8c3-4860adeb13ba" ] }, { "id" : "ITEM-2", "itemData" : { "DOI" : "10.2214/AJR.05.1174", "ISSN" : "1546-3141", "PMID" : "17376998", "abstract" : "OBJECTIVE: Our objective was to establish the CT features that are indicative of pancreatic fistula after pancreaticoduodenectomy. CONCLUSION: A fluid collection seen on CT around the pancreaticojejunostomy site and in the pancreatic bed may be caused by pancreatic fistula in patients who have undergone pancreaticoduodenectomy. CT depiction of air bubbles in the fluid at these sites may strongly suggest the diagnosis of pancreatic fistula.", "author" : [ { "dropping-particle" : "", "family" : "Hashimoto", "given" : "Manabu", "non-dropping-particle" : "", "parse-names" : false, "suffix" : "" }, { "dropping-particle" : "", "family" : "Koga", "given" : "Makoto", "non-dropping-particle" : "", "parse-names" : false, "suffix" : "" }, { "dropping-particle" : "", "family" : "Ishiyama", "given" : "Koichi", "non-dropping-particle" : "", "parse-names" : false, "suffix" : "" }, { "dropping-particle" : "", "family" : "Watarai", "given" : "Jiro", "non-dropping-particle" : "", "parse-names" : false, "suffix" : "" }, { "dropping-particle" : "", "family" : "Shibata", "given" : "Satoshi", "non-dropping-particle" : "", "parse-names" : false, "suffix" : "" }, { "dropping-particle" : "", "family" : "Sato", "given" : "Tutomu", "non-dropping-particle" : "", "parse-names" : false, "suffix" : "" }, { "dropping-particle" : "", "family" : "Yamamoto", "given" : "Yuzo", "non-dropping-particle" : "", "parse-names" : false, "suffix" : "" } ], "container-title" : "AJR. American journal of roentgenology", "id" : "ITEM-2", "issue" : "4", "issued" : { "date-parts" : [ [ "2007", "4" ] ] }, "page" : "W323-7", "title" : "CT features of pancreatic fistula after pancreaticoduodenectomy.", "type" : "article-journal", "volume" : "188" }, "uris" : [ "http://www.mendeley.com/documents/?uuid=6f3b70be-b133-400a-8bae-e9108efd1b1b" ] } ], "mendeley" : { "formattedCitation" : "[16,17]", "plainTextFormattedCitation" : "[16,17]", "previouslyFormattedCitation" : "&lt;sup&gt;16,17&lt;/sup&gt;" }, "properties" : {  }, "schema" : "https://github.com/citation-style-language/schema/raw/master/csl-citation.json" }</w:instrText>
      </w:r>
      <w:r w:rsidRPr="000D35D4">
        <w:rPr>
          <w:lang w:val="en-US"/>
        </w:rPr>
        <w:fldChar w:fldCharType="separate"/>
      </w:r>
      <w:r w:rsidR="00625C5F" w:rsidRPr="00625C5F">
        <w:rPr>
          <w:noProof/>
          <w:lang w:val="en-US"/>
        </w:rPr>
        <w:t>[16,17]</w:t>
      </w:r>
      <w:r w:rsidRPr="000D35D4">
        <w:rPr>
          <w:lang w:val="en-US"/>
        </w:rPr>
        <w:fldChar w:fldCharType="end"/>
      </w:r>
      <w:r w:rsidRPr="000D35D4">
        <w:rPr>
          <w:lang w:val="en-US"/>
        </w:rPr>
        <w:t xml:space="preserve">. Clinical suspicion is raised by abnormalities in inflammatory parameters and was evaluated in the previously discussed algorithm on indication for abdominal CT scan. The abdominal radiologists will be asked whether pancreatic fistula is suspected based on the systematic assessment of the abdominal CT scan. Suspicion is generally raised if low density fluid is seen near the transection site or anastomosis of the pancreas (i.e. not being hematoma based on density). If there is no radiologic suspicion of pancreatic fistula, there is no indication for invasive intervention for pancreatic fistula. Management of other complications that are </w:t>
      </w:r>
      <w:r>
        <w:rPr>
          <w:lang w:val="en-US"/>
        </w:rPr>
        <w:t>diagnosed</w:t>
      </w:r>
      <w:r w:rsidRPr="000D35D4">
        <w:rPr>
          <w:lang w:val="en-US"/>
        </w:rPr>
        <w:t xml:space="preserve"> on abdominal CT scan is not within the scope of this algorithm and is therefore left to the discretion of local clinicians. </w:t>
      </w:r>
    </w:p>
    <w:p w:rsidR="004F7AFD" w:rsidRPr="000D35D4" w:rsidRDefault="004F7AFD" w:rsidP="004F7AFD">
      <w:pPr>
        <w:spacing w:after="0"/>
        <w:jc w:val="both"/>
        <w:rPr>
          <w:i/>
          <w:lang w:val="en-US"/>
        </w:rPr>
      </w:pPr>
    </w:p>
    <w:p w:rsidR="004F7AFD" w:rsidRPr="000D35D4" w:rsidRDefault="004F7AFD" w:rsidP="004F7AFD">
      <w:pPr>
        <w:spacing w:after="0"/>
        <w:jc w:val="both"/>
        <w:rPr>
          <w:i/>
          <w:lang w:val="en-US"/>
        </w:rPr>
      </w:pPr>
    </w:p>
    <w:p w:rsidR="004F7AFD" w:rsidRPr="000D35D4" w:rsidRDefault="004F7AFD" w:rsidP="004F7AFD">
      <w:pPr>
        <w:spacing w:after="0"/>
        <w:jc w:val="both"/>
        <w:rPr>
          <w:lang w:val="en-US"/>
        </w:rPr>
      </w:pPr>
      <w:r w:rsidRPr="000D35D4">
        <w:rPr>
          <w:i/>
          <w:lang w:val="en-US"/>
        </w:rPr>
        <w:lastRenderedPageBreak/>
        <w:t>Adequate drain position and (additional) drain placement</w:t>
      </w:r>
    </w:p>
    <w:p w:rsidR="004F7AFD" w:rsidRPr="000D35D4" w:rsidRDefault="004F7AFD" w:rsidP="004F7AFD">
      <w:pPr>
        <w:spacing w:after="0"/>
        <w:jc w:val="both"/>
        <w:rPr>
          <w:lang w:val="en-US"/>
        </w:rPr>
      </w:pPr>
      <w:r w:rsidRPr="000D35D4">
        <w:rPr>
          <w:lang w:val="en-US"/>
        </w:rPr>
        <w:t>The possibility of (additional) minimally invasive percutaneous drainage should be considered in all patients with (suspected) severe pancreatic fistula (i.e. based on clinical and radiological parameters). In patients with abdominal drain in adequate position, it should be evaluated whether additional drain placement is potentially beneficial. All fluid in the upper abdomen in patients with suspected pancreatic fistula should be evaluated for the possibility of (additional) percutaneous drainage</w:t>
      </w:r>
      <w:r w:rsidRPr="000D35D4">
        <w:rPr>
          <w:lang w:val="en-US"/>
        </w:rPr>
        <w:fldChar w:fldCharType="begin" w:fldLock="1"/>
      </w:r>
      <w:r w:rsidR="00625C5F">
        <w:rPr>
          <w:lang w:val="en-US"/>
        </w:rPr>
        <w:instrText>ADDIN CSL_CITATION { "citationItems" : [ { "id" : "ITEM-1", "itemData" : { "DOI" : "10.1001/jamasurg.2016.5708", "PMID" : "28241220", "abstract" : "Importance Postoperative pancreatic fistula is a potentially life-threatening complication after pancreatoduodenectomy. Evidence for best management is lacking. Objective To evaluate the clinical outcome of patients undergoing catheter drainage compared with relaparotomy as primary treatment for pancreatic fistula after pancreatoduodenectomy. Design, Setting, and Participants A multicenter, retrospective, propensity-matched cohort study was conducted in 9 centers of the Dutch Pancreatic Cancer Group from January 1, 2005, to September 30, 2013. From a cohort of 2196 consecutive patients who underwent pancreatoduodenectomy, 309 patients with severe pancreatic fistula were included. Propensity score matching (based on sex, age, comorbidity, disease severity, and previous reinterventions) was used to minimize selection bias. Data analysis was performed from January to July 2016. Exposures First intervention for pancreatic fistula: catheter drainage or relaparotomy. Main Outcomes and Measures Primary end point was in-hospital mortality; secondary end points included new-onset organ failure. Results Of the 309 patients included in the analysis, 209 (67.6%) were men, and mean (SD) age was 64.6 (10.1) years. Overall in-hospital mortality was 17.8% (55 patients): 227 patients (73.5%) underwent primary catheter drainage and 82 patients (26.5%) underwent primary relaparotomy. Primary catheter drainage was successful (ie, survival without relaparotomy) in 175 patients (77.1%). With propensity score matching, 64 patients undergoing primary relaparotomy were matched to 64 patients undergoing primary catheter drainage. Mortality was lower after catheter drainage (14.1% vs 35.9%; P = .007; risk ratio, 0.39; 95% CI, 0.20-0.76). The rate of new-onset single-organ failure (4.7% vs 20.3%; P = .007; risk ratio, 0.15; 95% CI, 0.03-0.60) and new-onset multiple-organ failure (15.6% vs 39.1%; P = .008; risk ratio, 0.40; 95% CI, 0.20-0.77) were also lower after primary catheter drainage. Conclusions and Relevance In this propensity-matched cohort, catheter drainage as first intervention for severe pancreatic fistula after pancreatoduodenectomy was associated with a better clinical outcome, including lower mortality, compared with primary relaparotomy.", "author" : [ { "dropping-particle" : "", "family" : "Smits", "given" : "F Jasmijn", "non-dropping-particle" : "", "parse-names" : false, "suffix" : "" }, { "dropping-particle" : "", "family" : "Santvoort", "given" : "Hjalmar C", "non-dropping-particle" : "van", "parse-names" : false, "suffix" : "" }, { "dropping-particle" : "", "family" : "Besselink", "given" : "Marc G", "non-dropping-particle" : "", "parse-names" : false, "suffix" : "" }, { "dropping-particle" : "", "family" : "Batenburg", "given" : "Marilot C. T.", "non-dropping-particle" : "", "parse-names" : false, "suffix" : "" }, { "dropping-particle" : "", "family" : "Slooff", "given" : "Robbert A E", "non-dropping-particle" : "", "parse-names" : false, "suffix" : "" }, { "dropping-particle" : "", "family" : "Boerma", "given" : "Djamila", "non-dropping-particle" : "", "parse-names" : false, "suffix" : "" }, { "dropping-particle" : "", "family" : "Busch", "given" : "Olivier R", "non-dropping-particle" : "", "parse-names" : false, "suffix" : "" }, { "dropping-particle" : "", "family" : "Coene", "given" : "Peter P L O", "non-dropping-particle" : "", "parse-names" : false, "suffix" : "" }, { "dropping-particle" : "", "family" : "Dam", "given" : "Ronald M.", "non-dropping-particle" : "van", "parse-names" : false, "suffix" : "" }, { "dropping-particle" : "", "family" : "Dijk", "given" : "David P. J.", "non-dropping-particle" : "van", "parse-names" : false, "suffix" : "" }, { "dropping-particle" : "", "family" : "Eijck", "given" : "Casper H. J.", "non-dropping-particle" : "van", "parse-names" : false, "suffix" : "" }, { "dropping-particle" : "", "family" : "Festen", "given" : "Sebastiaan", "non-dropping-particle" : "", "parse-names" : false, "suffix" : "" }, { "dropping-particle" : "", "family" : "Harst", "given" : "Erwin", "non-dropping-particle" : "van der", "parse-names" : false, "suffix" : "" }, { "dropping-particle" : "", "family" : "Hingh", "given" : "Ignace H. J. T.", "non-dropping-particle" : "de", "parse-names" : false, "suffix" : "" }, { "dropping-particle" : "", "family" : "Jong", "given" : "Koert P.", "non-dropping-particle" : "de", "parse-names" : false, "suffix" : "" }, { "dropping-particle" : "", "family" : "Tol", "given" : "Johanna A. M. G.", "non-dropping-particle" : "", "parse-names" : false, "suffix" : "" }, { "dropping-particle" : "", "family" : "Borel Rinkes", "given" : "Inne H. M.", "non-dropping-particle" : "", "parse-names" : false, "suffix" : "" }, { "dropping-particle" : "", "family" : "Molenaar", "given" : "I. Quintus", "non-dropping-particle" : "", "parse-names" : false, "suffix" : "" }, { "dropping-particle" : "", "family" : "Dutch Pancreatic Cancer Group", "given" : "", "non-dropping-particle" : "", "parse-names" : false, "suffix" : "" } ], "container-title" : "JAMA Surgery", "id" : "ITEM-1", "issued" : { "date-parts" : [ [ "2017", "2", "22" ] ] }, "note" : "NULL", "title" : "Management of Severe Pancreatic Fistula After Pancreatoduodenectomy", "type" : "article-journal" }, "uris" : [ "http://www.mendeley.com/documents/?uuid=7db5c30a-8675-372d-825b-8b0130042173" ] }, { "id" : "ITEM-2", "itemData" : { "DOI" : "10.1007/s00423-014-1242-2", "ISSN" : "1435-2451", "PMID" : "25173359", "abstract" : "BACKGROUND: Postoperative pancreatic fistula (POPF) is the leading complication after partial pancreatic resection and is associated with increased length of hospital stay and resource utilization. The introduction of a common definition in 2005 by the International Study Group of Pancreatic Surgery (ISGPS), which has been since employed in the vast majority of reports, has allowed a reliable comparison of surgical results. Despite the systematic investigation of risk factors and of surgical techniques, the incidence of POPF did not change in recent years, whereas the associated mortality has decreased. PURPOSE: The purposes of this review article were to summarize the current evidence on the diagnosis and management strategies of POPF and to provide a concise reference for the practicing surgeons and physicians. CONCLUSION: The high incidence of POPF was accompanied by a shift from operative to non-operative management. However, the current management strategy is driven by the patient's condition and local expertise and is generally based on poor evidence. A randomized trial showed that enteral nutrition is superior to total parenteral nutrition, and pooled data of randomized trials failed to show any advantage of somatostatin analogs for accelerating fistula closure. The choice of percutaneous versus endoscopic drainage of peripancreatic collections remains arbitrary, and-when re-operation is needed-there are very few comparative data regarding local drainage with or without main pancreatic stenting as opposed to anastomotic revision or salvage re-anastomosis. The continuous development of specialist, high-volume units with appropriate resources and multidisciplinary experience in complication management might further improve the evidence and the outcomes.", "author" : [ { "dropping-particle" : "", "family" : "Malleo", "given" : "Giuseppe", "non-dropping-particle" : "", "parse-names" : false, "suffix" : "" }, { "dropping-particle" : "", "family" : "Pulvirenti", "given" : "Alessandra", "non-dropping-particle" : "", "parse-names" : false, "suffix" : "" }, { "dropping-particle" : "", "family" : "Marchegiani", "given" : "Giovanni", "non-dropping-particle" : "", "parse-names" : false, "suffix" : "" }, { "dropping-particle" : "", "family" : "Butturini", "given" : "Giovanni", "non-dropping-particle" : "", "parse-names" : false, "suffix" : "" }, { "dropping-particle" : "", "family" : "Salvia", "given" : "Roberto", "non-dropping-particle" : "", "parse-names" : false, "suffix" : "" }, { "dropping-particle" : "", "family" : "Bassi", "given" : "Claudio", "non-dropping-particle" : "", "parse-names" : false, "suffix" : "" } ], "container-title" : "Langenbeck's archives of surgery / Deutsche Gesellschaft f\u00fcr Chirurgie", "id" : "ITEM-2", "issue" : "7", "issued" : { "date-parts" : [ [ "2014", "10" ] ] }, "page" : "801-10", "title" : "Diagnosis and management of postoperative pancreatic fistula.", "type" : "article-journal", "volume" : "399" }, "uris" : [ "http://www.mendeley.com/documents/?uuid=f547c2d5-27b2-47fd-81ce-59d5717effb1" ] }, { "id" : "ITEM-3", "itemData" : { "DOI" : "10.1016/j.surg.2014.04.026", "ISSN" : "1532-7361", "PMID" : "25017138", "abstract" : "INTRODUCTION: Operative complications after pancreatoduodenectomy can be managed by nonoperative or operative interventions. The aim of this study was to analyze the shift in management of five major complications and their success rates. An algorithm was developed according to predictors for type of intervention and failure of management. METHODS: From 1992-2012, patients with pancreaticojejunostomy, hepaticojejunostomy or gastroenterostomy leakage, postpancreatectomy hemorrhage, or primary abscess after pancreatoduodenectomy were selected from a prospectively maintained database. Complications were treated by nonoperative or operative intervention Two cohorts were created according to period of index operation. Pre- and postoperative characteristics were analyzed. RESULTS: Of 1,037 patients, 263 (25%) experienced operative complications. The incidence of pancreatic fistula increased from 11 to 18%, accompanied by a shift from operative toward nonoperative management. This was also seen in the management of late hemorrhage. Success rates of interventions remained similar for all complications. The incidence of primary abscesses decreased. Early sepsis (odds ratio [OR] 17.8, 95% confidence interval [CI] 4.9-64.4) was associated with failure of nonoperative interventions in patients with pancreatic fistula. Hemodynamic instability (OR 17.2, 95% CI 1.8-160.1) and sepsis (OR 6.7, 95% CI 2.7-16.3) were predictive for operative intervention. Failure of nonoperative intervention (HR 3.95% CI 1.3-7.1) and operative intervention (HR 6.4 95% CI 3.2-12.8) were predictors for poor survival. CONCLUSION: The shift towards nonoperative interventions was notable in patients suffering from pancreaticojejunostomy leakage and late hemorrhage. Anastomotic leakage, late hemorrhage, and primary abscesses can be managed nonoperatively however; hemodynamic instability and early sepsis are strong arguments to perform surgery.", "author" : [ { "dropping-particle" : "", "family" : "Tol", "given" : "Johanna A M G", "non-dropping-particle" : "", "parse-names" : false, "suffix" : "" }, { "dropping-particle" : "", "family" : "Busch", "given" : "Olivier R C", "non-dropping-particle" : "", "parse-names" : false, "suffix" : "" }, { "dropping-particle" : "", "family" : "Delden", "given" : "Otto M", "non-dropping-particle" : "van", "parse-names" : false, "suffix" : "" }, { "dropping-particle" : "", "family" : "Lienden", "given" : "Krijn P", "non-dropping-particle" : "van", "parse-names" : false, "suffix" : "" }, { "dropping-particle" : "", "family" : "Gulik", "given" : "Thomas M", "non-dropping-particle" : "van", "parse-names" : false, "suffix" : "" }, { "dropping-particle" : "", "family" : "Gouma", "given" : "Dirk J", "non-dropping-particle" : "", "parse-names" : false, "suffix" : "" } ], "container-title" : "Surgery", "id" : "ITEM-3", "issue" : "3", "issued" : { "date-parts" : [ [ "2014", "9" ] ] }, "page" : "622-31", "title" : "Shifting role of operative and nonoperative interventions in managing complications after pancreatoduodenectomy: what is the preferred intervention?", "type" : "article-journal", "volume" : "156" }, "uris" : [ "http://www.mendeley.com/documents/?uuid=a5e0fcbc-49c7-4b8a-a72a-ecec0b3d1235" ] }, { "id" : "ITEM-4", "itemData" : { "DOI" : "10.1007/978-1-4939-2223-9_27", "author" : [ { "dropping-particle" : "", "family" : "King", "given" : "Jonathan C.", "non-dropping-particle" : "", "parse-names" : false, "suffix" : "" }, { "dropping-particle" : "", "family" : "Hogg", "given" : "Melissa", "non-dropping-particle" : "", "parse-names" : false, "suffix" : "" }, { "dropping-particle" : "", "family" : "Zeh", "given" : "Herbert J.", "non-dropping-particle" : "", "parse-names" : false, "suffix" : "" } ], "container-title" : "Gastrointestinal Surgery", "id" : "ITEM-4", "issued" : { "date-parts" : [ [ "2015" ] ] }, "page" : "281-292", "publisher" : "Springer New York", "publisher-place" : "New York, NY", "title" : "Major Disruptions of Pancreaticojejunostomy", "type" : "chapter" }, "uris" : [ "http://www.mendeley.com/documents/?uuid=756bff0a-eb51-3231-b3c3-06e9a5c7c90d" ] } ], "mendeley" : { "formattedCitation" : "[18\u201321]", "plainTextFormattedCitation" : "[18\u201321]", "previouslyFormattedCitation" : "&lt;sup&gt;18\u201321&lt;/sup&gt;" }, "properties" : {  }, "schema" : "https://github.com/citation-style-language/schema/raw/master/csl-citation.json" }</w:instrText>
      </w:r>
      <w:r w:rsidRPr="000D35D4">
        <w:rPr>
          <w:lang w:val="en-US"/>
        </w:rPr>
        <w:fldChar w:fldCharType="separate"/>
      </w:r>
      <w:r w:rsidR="00625C5F" w:rsidRPr="00625C5F">
        <w:rPr>
          <w:noProof/>
          <w:lang w:val="en-US"/>
        </w:rPr>
        <w:t>[18–21]</w:t>
      </w:r>
      <w:r w:rsidRPr="000D35D4">
        <w:rPr>
          <w:lang w:val="en-US"/>
        </w:rPr>
        <w:fldChar w:fldCharType="end"/>
      </w:r>
      <w:r w:rsidRPr="004F7AFD">
        <w:rPr>
          <w:lang w:val="en-US"/>
        </w:rPr>
        <w:t xml:space="preserve">. </w:t>
      </w:r>
      <w:r w:rsidRPr="000D35D4">
        <w:rPr>
          <w:lang w:val="en-US"/>
        </w:rPr>
        <w:t>If drainage is feasible, this should be the primary management of choice. Previous studies have shown that fluid should not necessarily be collected, but should be large enough to fit a 8 French pigtail drain</w:t>
      </w:r>
      <w:r w:rsidRPr="000D35D4">
        <w:rPr>
          <w:lang w:val="en-US"/>
        </w:rPr>
        <w:fldChar w:fldCharType="begin" w:fldLock="1"/>
      </w:r>
      <w:r w:rsidR="00625C5F">
        <w:rPr>
          <w:lang w:val="en-US"/>
        </w:rPr>
        <w:instrText>ADDIN CSL_CITATION { "citationItems" : [ { "id" : "ITEM-1", "itemData" : { "ISSN" : "1091-255X", "PMID" : "12600445", "abstract" : "Although the mortality rate after pancreaticoduodenectomy has decreased, the morbidity rate remains high. Major morbidity is often managed with the aid of interventional radiologists. The objective of this study was to evaluate the cooperative roles of interventional radiologists and pancreatic surgeons in complex pancreatic surgery, specifically pancreaticoduodenectomy. Our pancreaticoduodenectomy database was reviewed for all patients undergoing pancreaticoduodenectomy between January 1, 1995 and December 31, 2000. The interventional radiologic procedures for each patient were evaluated. A total of 1061 patients underwent pancreaticoduodenectomy. The overall mortality and morbidity rates were 2.3% and 35%, respectively. Five hundred ninety patients (56%) had no interventional radiologic procedures, whereas 471 patients (44%) had interventional radiologic procedures. Of those, 342 (32%) had preoperative biliary drainage (PBD) and 129 (12%) required postoperative interventional radiologic procedures. Percutaneous aspiration/catheter drainage was required in 84 patients for intra-abdominal abscess, biloma, or lymphocele, with 24 requiring two or more abscess drains. Thirty-nine patients underwent postoperative PBD for bile leaks due to anastomotic disruption, undrained biliary segments, or T-tube/bile stent dislodgment. Eighteen patients had hemobilia/gastrointestinal bleeding treated by angiography with embolization. The reoperation rate for the entire cohort of 1061 patients was 4.1% (n = 43). Nineteen of the 129 patients (15%) requiring postoperative radiologic intervention required reoperation. Although 4 of 18 patients who required embolization for bleeding subsequently required surgical intervention for the same reason, only 4 of 84 patients undergoing abscess drainage later required operation for anastomotic disruption or unsuccessful percutaneous drainage. As would be expected, the patients who required postoperative radiologic intervention (n = 129) had a higher incidence of postoperative complications including pancreatic fistula (20% vs. 6%, P &lt; 0.01), bile leakage (22% vs. 1%, P &lt; 0.01), and wound infection (16% vs. 8%, P &lt; 0.01). With the complications in these 129 patients, the postoperative mortality rate was only 6.2% compared to 1.7% in patients who did not require radiologic intervention (n = 932, P &lt; 0.01). The median postoperative length of stay was 15 days in those patients requiring postoperative radiologic intervention, 10 days in \u2026", "author" : [ { "dropping-particle" : "", "family" : "Sohn", "given" : "Taylor A", "non-dropping-particle" : "", "parse-names" : false, "suffix" : "" }, { "dropping-particle" : "", "family" : "Yeo", "given" : "Charles J", "non-dropping-particle" : "", "parse-names" : false, "suffix" : "" }, { "dropping-particle" : "", "family" : "Cameron", "given" : "John L", "non-dropping-particle" : "", "parse-names" : false, "suffix" : "" }, { "dropping-particle" : "", "family" : "Geschwind", "given" : "Jeffrey F", "non-dropping-particle" : "", "parse-names" : false, "suffix" : "" }, { "dropping-particle" : "", "family" : "Mitchell", "given" : "Sally E", "non-dropping-particle" : "", "parse-names" : false, "suffix" : "" }, { "dropping-particle" : "", "family" : "Venbrux", "given" : "Anthony C", "non-dropping-particle" : "", "parse-names" : false, "suffix" : "" }, { "dropping-particle" : "", "family" : "Lillemoe", "given" : "Keith D", "non-dropping-particle" : "", "parse-names" : false, "suffix" : "" } ], "container-title" : "Journal of gastrointestinal surgery : official journal of the Society for Surgery of the Alimentary Tract", "id" : "ITEM-1", "issue" : "2", "issued" : { "date-parts" : [ [ "2003", "2" ] ] }, "page" : "209-19", "title" : "Pancreaticoduodenectomy: role of interventional radiologists in managing patients and complications.", "type" : "article-journal", "volume" : "7" }, "uris" : [ "http://www.mendeley.com/documents/?uuid=014ad594-3d23-433c-b6ad-7953375515ea" ] }, { "id" : "ITEM-2", "itemData" : { "DOI" : "10.1111/j.1477-2574.2012.00545.x", "ISSN" : "1477-2574", "PMID" : "23134182", "abstract" : "OBJECTIVES: This study evaluates the role of interventional radiology (IR) in the management of postoperative complications after pancreatoduodenectomy (PD). METHODS: A total of 120 consecutive patients were reviewed to identify IR procedures performed for early complications after PD. RESULTS: Findings showed that 24 patients (20.0%) required urgent radiological or surgical re-intervention for early complications, including 11 instances of post-pancreatectomy haemorrhage (PPH), six intra-abdominal abscesses, two bile leaks, one pancreatic fistula and one bowel ischaemia. Three of 24 complications were managed by surgery and 21 were managed by IR. Two of 11 PPHs involved intraluminal haemorrhage (ILH) and nine involved intra-abdominal haemorrhage (IAH). One ILH was managed conservatively and one required surgical intervention. In eight of nine patients with IAH, the bleeding site was identified on computed tomography angiography, and endovascular stenting or coil embolization were performed. No patient required a re-look laparotomy following IR for haemorrhage or intra-abdominal abscess. Overall, three of 120 patients required an urgent re-look laparotomy for early complications. CONCLUSIONS: Rates of major morbidity after PD remain high. However, many significant complications (PPH, pancreatic fistula, intra-abdominal abscess) can be managed by IR, reducing the need for reoperation. Re-look surgery is still required in a small percentage (2.5%) of patients.", "author" : [ { "dropping-particle" : "", "family" : "Sanjay", "given" : "Pandanaboyana", "non-dropping-particle" : "", "parse-names" : false, "suffix" : "" }, { "dropping-particle" : "", "family" : "Kellner", "given" : "Maximiliane", "non-dropping-particle" : "", "parse-names" : false, "suffix" : "" }, { "dropping-particle" : "", "family" : "Tait", "given" : "Iain Stephen", "non-dropping-particle" : "", "parse-names" : false, "suffix" : "" } ], "container-title" : "HPB : the official journal of the International Hepato Pancreato Biliary Association", "id" : "ITEM-2", "issue" : "12", "issued" : { "date-parts" : [ [ "2012", "12" ] ] }, "page" : "812-7", "title" : "The role of interventional radiology in the management of surgical complications after pancreatoduodenectomy.", "type" : "article-journal", "volume" : "14" }, "uris" : [ "http://www.mendeley.com/documents/?uuid=c1ad4b78-1592-4c39-aca0-86955ad74c1c" ] } ], "mendeley" : { "formattedCitation" : "[22,23]", "plainTextFormattedCitation" : "[22,23]", "previouslyFormattedCitation" : "&lt;sup&gt;22,23&lt;/sup&gt;" }, "properties" : {  }, "schema" : "https://github.com/citation-style-language/schema/raw/master/csl-citation.json" }</w:instrText>
      </w:r>
      <w:r w:rsidRPr="000D35D4">
        <w:rPr>
          <w:lang w:val="en-US"/>
        </w:rPr>
        <w:fldChar w:fldCharType="separate"/>
      </w:r>
      <w:r w:rsidR="00625C5F" w:rsidRPr="00625C5F">
        <w:rPr>
          <w:noProof/>
          <w:lang w:val="en-US"/>
        </w:rPr>
        <w:t>[22,23]</w:t>
      </w:r>
      <w:r w:rsidRPr="000D35D4">
        <w:rPr>
          <w:lang w:val="en-US"/>
        </w:rPr>
        <w:fldChar w:fldCharType="end"/>
      </w:r>
      <w:r w:rsidRPr="000D35D4">
        <w:rPr>
          <w:lang w:val="en-US"/>
        </w:rPr>
        <w:t xml:space="preserve">. </w:t>
      </w:r>
    </w:p>
    <w:p w:rsidR="004F7AFD" w:rsidRPr="000D35D4" w:rsidRDefault="004F7AFD" w:rsidP="004F7AFD">
      <w:pPr>
        <w:spacing w:after="0"/>
        <w:jc w:val="both"/>
        <w:rPr>
          <w:lang w:val="en-US"/>
        </w:rPr>
      </w:pPr>
    </w:p>
    <w:p w:rsidR="004F7AFD" w:rsidRPr="000D35D4" w:rsidRDefault="004F7AFD" w:rsidP="004F7AFD">
      <w:pPr>
        <w:spacing w:after="0"/>
        <w:jc w:val="both"/>
        <w:rPr>
          <w:lang w:val="en-US"/>
        </w:rPr>
      </w:pPr>
      <w:r w:rsidRPr="000D35D4">
        <w:rPr>
          <w:i/>
          <w:lang w:val="en-US"/>
        </w:rPr>
        <w:t>Expert panel</w:t>
      </w:r>
    </w:p>
    <w:p w:rsidR="004F7AFD" w:rsidRPr="000D35D4" w:rsidRDefault="004F7AFD" w:rsidP="004F7AFD">
      <w:pPr>
        <w:spacing w:after="0"/>
        <w:jc w:val="both"/>
        <w:rPr>
          <w:lang w:val="en-US"/>
        </w:rPr>
      </w:pPr>
      <w:r w:rsidRPr="000D35D4">
        <w:rPr>
          <w:lang w:val="en-US"/>
        </w:rPr>
        <w:t>An online, nationwide, multidisciplinary expert panel will be available 24/7 to aid difficult clinical decisions on indication and feasibility of invasive interventions. This concept of this expert panel is based on the Dutch Pancreatitis Study Group expert panel and therefore the design of this panel is very similar to theirs</w:t>
      </w:r>
      <w:r>
        <w:rPr>
          <w:lang w:val="en-US"/>
        </w:rPr>
        <w:fldChar w:fldCharType="begin" w:fldLock="1"/>
      </w:r>
      <w:r w:rsidR="00625C5F">
        <w:rPr>
          <w:lang w:val="en-US"/>
        </w:rPr>
        <w:instrText>ADDIN CSL_CITATION { "citationItems" : [ { "id" : "ITEM-1", "itemData" : { "DOI" : "10.1053/j.gastro.2017.01.040", "PMID" : "28163063", "author" : [ { "dropping-particle" : "", "family" : "Grinsven", "given" : "Janneke", "non-dropping-particle" : "van", "parse-names" : false, "suffix" : "" }, { "dropping-particle" : "", "family" : "Brunschot", "given" : "Sandra", "non-dropping-particle" : "van", "parse-names" : false, "suffix" : "" }, { "dropping-particle" : "", "family" : "Santvoort", "given" : "Hjalmar C.", "non-dropping-particle" : "van", "parse-names" : false, "suffix" : "" }, { "dropping-particle" : "", "family" : "Schepers", "given" : "Nicolien J.", "non-dropping-particle" : "", "parse-names" : false, "suffix" : "" }, { "dropping-particle" : "", "family" : "Doeve", "given" : "Benthe", "non-dropping-particle" : "", "parse-names" : false, "suffix" : "" }, { "dropping-particle" : "", "family" : "Bakker", "given" : "Olaf J.", "non-dropping-particle" : "", "parse-names" : false, "suffix" : "" }, { "dropping-particle" : "", "family" : "Bouwense", "given" : "Stefan A.W.", "non-dropping-particle" : "", "parse-names" : false, "suffix" : "" }, { "dropping-particle" : "", "family" : "Boermeester", "given" : "Marja A.", "non-dropping-particle" : "", "parse-names" : false, "suffix" : "" }, { "dropping-particle" : "", "family" : "Bollen", "given" : "Thomas L.", "non-dropping-particle" : "", "parse-names" : false, "suffix" : "" }, { "dropping-particle" : "", "family" : "Bruno", "given" : "Marco J.", "non-dropping-particle" : "", "parse-names" : false, "suffix" : "" }, { "dropping-particle" : "", "family" : "Cappendijk", "given" : "Vincent C.", "non-dropping-particle" : "", "parse-names" : false, "suffix" : "" }, { "dropping-particle" : "", "family" : "Dejong", "given" : "Cornelis H.C.", "non-dropping-particle" : "", "parse-names" : false, "suffix" : "" }, { "dropping-particle" : "", "family" : "Eijck", "given" : "Casper H.J.", "non-dropping-particle" : "van", "parse-names" : false, "suffix" : "" }, { "dropping-particle" : "", "family" : "Fockens", "given" : "Paul", "non-dropping-particle" : "", "parse-names" : false, "suffix" : "" }, { "dropping-particle" : "", "family" : "Goor", "given" : "Harry", "non-dropping-particle" : "van", "parse-names" : false, "suffix" : "" }, { "dropping-particle" : "", "family" : "Haveman", "given" : "Jan Willem", "non-dropping-particle" : "", "parse-names" : false, "suffix" : "" }, { "dropping-particle" : "", "family" : "Hofker", "given" : "H. Sijbrand", "non-dropping-particle" : "", "parse-names" : false, "suffix" : "" }, { "dropping-particle" : "", "family" : "Lam\u00e9ris", "given" : "Johan S.", "non-dropping-particle" : "", "parse-names" : false, "suffix" : "" }, { "dropping-particle" : "", "family" : "Leeuwen", "given" : "Maarten S.", "non-dropping-particle" : "van", "parse-names" : false, "suffix" : "" }, { "dropping-particle" : "", "family" : "Lienden", "given" : "Krijn P.", "non-dropping-particle" : "van", "parse-names" : false, "suffix" : "" }, { "dropping-particle" : "", "family" : "Nieuwenhuijs", "given" : "Vincent B.", "non-dropping-particle" : "", "parse-names" : false, "suffix" : "" }, { "dropping-particle" : "", "family" : "Poley", "given" : "Jan-Werner", "non-dropping-particle" : "", "parse-names" : false, "suffix" : "" }, { "dropping-particle" : "", "family" : "Schaapherder", "given" : "Alexander F.", "non-dropping-particle" : "", "parse-names" : false, "suffix" : "" }, { "dropping-particle" : "", "family" : "Timmer", "given" : "Robin", "non-dropping-particle" : "", "parse-names" : false, "suffix" : "" }, { "dropping-particle" : "", "family" : "Gooszen", "given" : "Hein G.", "non-dropping-particle" : "", "parse-names" : false, "suffix" : "" }, { "dropping-particle" : "", "family" : "Besselink", "given" : "Marc G.", "non-dropping-particle" : "", "parse-names" : false, "suffix" : "" } ], "container-title" : "Gastroenterology", "id" : "ITEM-1", "issue" : "4", "issued" : { "date-parts" : [ [ "2017", "3" ] ] }, "page" : "685-688.e6", "title" : "The Value of a 24/7 Online Nationwide Multidisciplinary Expert Panel for Acute Necrotizing Pancreatitis", "type" : "article-journal", "volume" : "152" }, "uris" : [ "http://www.mendeley.com/documents/?uuid=3c61bee3-535d-38a8-bbd3-0e3c18ce5c3f" ] } ], "mendeley" : { "formattedCitation" : "[24]", "plainTextFormattedCitation" : "[24]", "previouslyFormattedCitation" : "&lt;sup&gt;24&lt;/sup&gt;" }, "properties" : {  }, "schema" : "https://github.com/citation-style-language/schema/raw/master/csl-citation.json" }</w:instrText>
      </w:r>
      <w:r>
        <w:rPr>
          <w:lang w:val="en-US"/>
        </w:rPr>
        <w:fldChar w:fldCharType="separate"/>
      </w:r>
      <w:r w:rsidR="00625C5F" w:rsidRPr="00625C5F">
        <w:rPr>
          <w:noProof/>
          <w:lang w:val="en-US"/>
        </w:rPr>
        <w:t>[24]</w:t>
      </w:r>
      <w:r>
        <w:rPr>
          <w:lang w:val="en-US"/>
        </w:rPr>
        <w:fldChar w:fldCharType="end"/>
      </w:r>
      <w:r w:rsidRPr="000D35D4">
        <w:rPr>
          <w:lang w:val="en-US"/>
        </w:rPr>
        <w:t xml:space="preserve">. </w:t>
      </w:r>
    </w:p>
    <w:p w:rsidR="004F7AFD" w:rsidRPr="000D35D4" w:rsidRDefault="004F7AFD" w:rsidP="004F7AFD">
      <w:pPr>
        <w:spacing w:after="0"/>
        <w:ind w:firstLine="708"/>
        <w:jc w:val="both"/>
        <w:rPr>
          <w:lang w:val="en-US"/>
        </w:rPr>
      </w:pPr>
      <w:r w:rsidRPr="000D35D4">
        <w:rPr>
          <w:lang w:val="en-US"/>
        </w:rPr>
        <w:t>This panel exists of pancreatic surgeons, dedicated abdominal radiologists and interventional radiologists with vast experience in treating patients with abdominal complications after pancreatic resection. The expert panel is consulted by filling out an online form. The consulting clinician provides anonymous patient information, including medical history, clinical course, vital and inflammatory parameters, previous interventions and selected images from the most recent CT scan. The expert form is send to the study coordinator and then forwarded to the members of the expert panel who are also notified by a text message via mobile phone. The experts independently return their advice to the study coordinator as soon as possible. Within 12 hours, the combined expert advices are forwarded to the consulting clinician</w:t>
      </w:r>
      <w:r w:rsidRPr="000D35D4">
        <w:rPr>
          <w:lang w:val="en-US"/>
        </w:rPr>
        <w:fldChar w:fldCharType="begin" w:fldLock="1"/>
      </w:r>
      <w:r w:rsidR="00625C5F">
        <w:rPr>
          <w:lang w:val="en-US"/>
        </w:rPr>
        <w:instrText>ADDIN CSL_CITATION { "citationItems" : [ { "id" : "ITEM-1", "itemData" : { "DOI" : "10.1053/j.gastro.2017.01.040", "PMID" : "28163063", "author" : [ { "dropping-particle" : "", "family" : "Grinsven", "given" : "Janneke", "non-dropping-particle" : "van", "parse-names" : false, "suffix" : "" }, { "dropping-particle" : "", "family" : "Brunschot", "given" : "Sandra", "non-dropping-particle" : "van", "parse-names" : false, "suffix" : "" }, { "dropping-particle" : "", "family" : "Santvoort", "given" : "Hjalmar C.", "non-dropping-particle" : "van", "parse-names" : false, "suffix" : "" }, { "dropping-particle" : "", "family" : "Schepers", "given" : "Nicolien J.", "non-dropping-particle" : "", "parse-names" : false, "suffix" : "" }, { "dropping-particle" : "", "family" : "Doeve", "given" : "Benthe", "non-dropping-particle" : "", "parse-names" : false, "suffix" : "" }, { "dropping-particle" : "", "family" : "Bakker", "given" : "Olaf J.", "non-dropping-particle" : "", "parse-names" : false, "suffix" : "" }, { "dropping-particle" : "", "family" : "Bouwense", "given" : "Stefan A.W.", "non-dropping-particle" : "", "parse-names" : false, "suffix" : "" }, { "dropping-particle" : "", "family" : "Boermeester", "given" : "Marja A.", "non-dropping-particle" : "", "parse-names" : false, "suffix" : "" }, { "dropping-particle" : "", "family" : "Bollen", "given" : "Thomas L.", "non-dropping-particle" : "", "parse-names" : false, "suffix" : "" }, { "dropping-particle" : "", "family" : "Bruno", "given" : "Marco J.", "non-dropping-particle" : "", "parse-names" : false, "suffix" : "" }, { "dropping-particle" : "", "family" : "Cappendijk", "given" : "Vincent C.", "non-dropping-particle" : "", "parse-names" : false, "suffix" : "" }, { "dropping-particle" : "", "family" : "Dejong", "given" : "Cornelis H.C.", "non-dropping-particle" : "", "parse-names" : false, "suffix" : "" }, { "dropping-particle" : "", "family" : "Eijck", "given" : "Casper H.J.", "non-dropping-particle" : "van", "parse-names" : false, "suffix" : "" }, { "dropping-particle" : "", "family" : "Fockens", "given" : "Paul", "non-dropping-particle" : "", "parse-names" : false, "suffix" : "" }, { "dropping-particle" : "", "family" : "Goor", "given" : "Harry", "non-dropping-particle" : "van", "parse-names" : false, "suffix" : "" }, { "dropping-particle" : "", "family" : "Haveman", "given" : "Jan Willem", "non-dropping-particle" : "", "parse-names" : false, "suffix" : "" }, { "dropping-particle" : "", "family" : "Hofker", "given" : "H. Sijbrand", "non-dropping-particle" : "", "parse-names" : false, "suffix" : "" }, { "dropping-particle" : "", "family" : "Lam\u00e9ris", "given" : "Johan S.", "non-dropping-particle" : "", "parse-names" : false, "suffix" : "" }, { "dropping-particle" : "", "family" : "Leeuwen", "given" : "Maarten S.", "non-dropping-particle" : "van", "parse-names" : false, "suffix" : "" }, { "dropping-particle" : "", "family" : "Lienden", "given" : "Krijn P.", "non-dropping-particle" : "van", "parse-names" : false, "suffix" : "" }, { "dropping-particle" : "", "family" : "Nieuwenhuijs", "given" : "Vincent B.", "non-dropping-particle" : "", "parse-names" : false, "suffix" : "" }, { "dropping-particle" : "", "family" : "Poley", "given" : "Jan-Werner", "non-dropping-particle" : "", "parse-names" : false, "suffix" : "" }, { "dropping-particle" : "", "family" : "Schaapherder", "given" : "Alexander F.", "non-dropping-particle" : "", "parse-names" : false, "suffix" : "" }, { "dropping-particle" : "", "family" : "Timmer", "given" : "Robin", "non-dropping-particle" : "", "parse-names" : false, "suffix" : "" }, { "dropping-particle" : "", "family" : "Gooszen", "given" : "Hein G.", "non-dropping-particle" : "", "parse-names" : false, "suffix" : "" }, { "dropping-particle" : "", "family" : "Besselink", "given" : "Marc G.", "non-dropping-particle" : "", "parse-names" : false, "suffix" : "" } ], "container-title" : "Gastroenterology", "id" : "ITEM-1", "issue" : "4", "issued" : { "date-parts" : [ [ "2017", "3" ] ] }, "page" : "685-688.e6", "title" : "The Value of a 24/7 Online Nationwide Multidisciplinary Expert Panel for Acute Necrotizing Pancreatitis", "type" : "article-journal", "volume" : "152" }, "uris" : [ "http://www.mendeley.com/documents/?uuid=3c61bee3-535d-38a8-bbd3-0e3c18ce5c3f" ] } ], "mendeley" : { "formattedCitation" : "[24]", "plainTextFormattedCitation" : "[24]", "previouslyFormattedCitation" : "&lt;sup&gt;24&lt;/sup&gt;" }, "properties" : {  }, "schema" : "https://github.com/citation-style-language/schema/raw/master/csl-citation.json" }</w:instrText>
      </w:r>
      <w:r w:rsidRPr="000D35D4">
        <w:rPr>
          <w:lang w:val="en-US"/>
        </w:rPr>
        <w:fldChar w:fldCharType="separate"/>
      </w:r>
      <w:r w:rsidR="00625C5F" w:rsidRPr="00625C5F">
        <w:rPr>
          <w:noProof/>
          <w:lang w:val="en-US"/>
        </w:rPr>
        <w:t>[24]</w:t>
      </w:r>
      <w:r w:rsidRPr="000D35D4">
        <w:rPr>
          <w:lang w:val="en-US"/>
        </w:rPr>
        <w:fldChar w:fldCharType="end"/>
      </w:r>
      <w:r w:rsidRPr="000D35D4">
        <w:rPr>
          <w:lang w:val="en-US"/>
        </w:rPr>
        <w:t xml:space="preserve">. </w:t>
      </w:r>
    </w:p>
    <w:p w:rsidR="004F7AFD" w:rsidRPr="000D35D4" w:rsidRDefault="004F7AFD" w:rsidP="004F7AFD">
      <w:pPr>
        <w:spacing w:after="0"/>
        <w:jc w:val="both"/>
        <w:rPr>
          <w:lang w:val="en-US"/>
        </w:rPr>
      </w:pPr>
      <w:r w:rsidRPr="000D35D4">
        <w:rPr>
          <w:lang w:val="en-US"/>
        </w:rPr>
        <w:tab/>
      </w:r>
      <w:r>
        <w:rPr>
          <w:lang w:val="en-US"/>
        </w:rPr>
        <w:t>The expert panel will provide an advice on if pancreatic fistula is suspected based on the CT scan. If pancreatic fistula is suspected, additional advice is provided on the technical aspects of minimally invasive percutaneous drainage, including proposed approach and material.</w:t>
      </w:r>
      <w:r w:rsidRPr="000D35D4">
        <w:rPr>
          <w:lang w:val="en-US"/>
        </w:rPr>
        <w:t xml:space="preserve"> Surgical intervention (i.e. </w:t>
      </w:r>
      <w:proofErr w:type="spellStart"/>
      <w:r w:rsidRPr="000D35D4">
        <w:rPr>
          <w:lang w:val="en-US"/>
        </w:rPr>
        <w:t>relaparotomy</w:t>
      </w:r>
      <w:proofErr w:type="spellEnd"/>
      <w:r w:rsidRPr="000D35D4">
        <w:rPr>
          <w:lang w:val="en-US"/>
        </w:rPr>
        <w:t xml:space="preserve">) is only considered in patients with ongoing clinical deterioration with no additional options for minimally invasive intervention. In these cases, the expert panel will be asked to evaluate the indication and feasibility of surgical intervention. They will also be asked to provide an advice on type of intervention during </w:t>
      </w:r>
      <w:proofErr w:type="spellStart"/>
      <w:r w:rsidRPr="000D35D4">
        <w:rPr>
          <w:lang w:val="en-US"/>
        </w:rPr>
        <w:t>relaparotomy</w:t>
      </w:r>
      <w:proofErr w:type="spellEnd"/>
      <w:r w:rsidRPr="000D35D4">
        <w:rPr>
          <w:lang w:val="en-US"/>
        </w:rPr>
        <w:t xml:space="preserve"> (i.e. lavage and surgical drainage or completion pancreatectomy). </w:t>
      </w:r>
    </w:p>
    <w:p w:rsidR="004F7AFD" w:rsidRPr="000D35D4" w:rsidRDefault="004F7AFD" w:rsidP="004F7AFD">
      <w:pPr>
        <w:spacing w:after="0"/>
        <w:jc w:val="both"/>
        <w:rPr>
          <w:lang w:val="en-US"/>
        </w:rPr>
      </w:pPr>
      <w:r w:rsidRPr="000D35D4">
        <w:rPr>
          <w:lang w:val="en-US"/>
        </w:rPr>
        <w:tab/>
        <w:t xml:space="preserve">In case of clinical or radiological evident persisting </w:t>
      </w:r>
      <w:proofErr w:type="spellStart"/>
      <w:r w:rsidRPr="000D35D4">
        <w:rPr>
          <w:lang w:val="en-US"/>
        </w:rPr>
        <w:t>hepaticojejunostomy</w:t>
      </w:r>
      <w:proofErr w:type="spellEnd"/>
      <w:r w:rsidRPr="000D35D4">
        <w:rPr>
          <w:lang w:val="en-US"/>
        </w:rPr>
        <w:t xml:space="preserve"> leak or mixed</w:t>
      </w:r>
      <w:r>
        <w:rPr>
          <w:lang w:val="en-US"/>
        </w:rPr>
        <w:t xml:space="preserve"> or </w:t>
      </w:r>
      <w:proofErr w:type="spellStart"/>
      <w:r>
        <w:rPr>
          <w:lang w:val="en-US"/>
        </w:rPr>
        <w:t>drirty</w:t>
      </w:r>
      <w:proofErr w:type="spellEnd"/>
      <w:r w:rsidRPr="000D35D4">
        <w:rPr>
          <w:lang w:val="en-US"/>
        </w:rPr>
        <w:t xml:space="preserve"> leak, the possibility of percutaneous </w:t>
      </w:r>
      <w:proofErr w:type="spellStart"/>
      <w:r w:rsidRPr="000D35D4">
        <w:rPr>
          <w:lang w:val="en-US"/>
        </w:rPr>
        <w:t>transhepatic</w:t>
      </w:r>
      <w:proofErr w:type="spellEnd"/>
      <w:r w:rsidRPr="000D35D4">
        <w:rPr>
          <w:lang w:val="en-US"/>
        </w:rPr>
        <w:t xml:space="preserve"> cholangiography (PTC) drainage should be considered to drain both the intrahepatic bile system and the small bowel loop of anastomoses. The expert panel is also available to provide advice on indication and feasibility of PTC drain placement.</w:t>
      </w:r>
    </w:p>
    <w:p w:rsidR="004F7AFD" w:rsidRPr="000D35D4" w:rsidRDefault="004F7AFD" w:rsidP="004F7AFD">
      <w:pPr>
        <w:spacing w:after="0"/>
        <w:jc w:val="both"/>
        <w:rPr>
          <w:lang w:val="en-US"/>
        </w:rPr>
      </w:pPr>
    </w:p>
    <w:p w:rsidR="004F7AFD" w:rsidRPr="000D35D4" w:rsidRDefault="004F7AFD" w:rsidP="004F7AFD">
      <w:pPr>
        <w:spacing w:after="0"/>
        <w:jc w:val="both"/>
        <w:rPr>
          <w:lang w:val="en-US"/>
        </w:rPr>
      </w:pPr>
      <w:r w:rsidRPr="000D35D4">
        <w:rPr>
          <w:i/>
          <w:lang w:val="en-US"/>
        </w:rPr>
        <w:t>Antibiotic treatment</w:t>
      </w:r>
    </w:p>
    <w:p w:rsidR="004F7AFD" w:rsidRPr="000D35D4" w:rsidRDefault="004F7AFD" w:rsidP="004F7AFD">
      <w:pPr>
        <w:spacing w:after="0"/>
        <w:jc w:val="both"/>
        <w:rPr>
          <w:lang w:val="en-US"/>
        </w:rPr>
      </w:pPr>
      <w:r w:rsidRPr="000D35D4">
        <w:rPr>
          <w:lang w:val="en-US"/>
        </w:rPr>
        <w:t>All patients with suspected pancreatic fistula should receive antibiotic treatment</w:t>
      </w:r>
      <w:r w:rsidRPr="000D35D4">
        <w:rPr>
          <w:lang w:val="en-US"/>
        </w:rPr>
        <w:fldChar w:fldCharType="begin" w:fldLock="1"/>
      </w:r>
      <w:r w:rsidR="00625C5F">
        <w:rPr>
          <w:lang w:val="en-US"/>
        </w:rPr>
        <w:instrText>ADDIN CSL_CITATION { "citationItems" : [ { "id" : "ITEM-1", "itemData" : { "DOI" : "10.1001/archsurg.2011.85", "PMID" : "21576614", "abstract" : "HYPOTHESIS We reviewed our experience with secondary pancreatic infections with a focus on preemptive intervention and the potential alteration of the recovered microbial flora. The pathogens associated with postoperative pancreatic infections were analyzed with respect to nonenteric organisms, if any, that were recovered. We hypothesized that our findings might alter the antimicrobial management of these patients. DESIGN Retrospective review. SETTING Hospitals affiliated with the University of Tennessee Health Science Center, Memphis. PATIENTS Patients developing secondary and postoperative pancreatic infections following severe acute pancreatitis. METHODS Factors examined relative to secondary pancreatitis included preoperative antibiotic use and antecedent extrapancreatic infections potentially implicated in seeding the pancreatic bed. Patients who had elective resection received 24 to 48 hours of antibiotic prophylaxis. RESULTS Twenty-two patients required surgery for secondary infections following severe acute pancreatitis, with 29 pathogenic isolates being recovered. Of these 22 patients, 14 received vancomycin hydrochloride prior to surgical intervention. Of those 14 patients, 6 had isolates recovered at the time of surgery that were positive for Enterococcus faecalis and 5 of these isolates were vancomycin resistant. Eight of the 22 patients received antifungal prophylaxis with no fungi recovered from intraoperative culture. However, 2 of the 14 patients who did not receive empiric therapy had isolates that were positive for fungi. Five patients who required an urgent operation for sepsis had pathogenic isolates that were similar to those recovered from central lines. Postoperative infections occurred in 40 of 225 patients (17.8%) who had an elective pancreatic resection, with 72 pathogenic isolates being recovered. Of these 40 patients, 22 (55.0%) had polymicrobial infections. Of the 72 pathogenic isolates recovered from patients, 34 (47.2%) were gram-positive organisms, 15 (20.8%) were fungal organisms, and 17 (23.6%) were drug-resistant bacteria. CONCLUSIONS Prolonged vancomycin use in patients with severe acute pancreatitis is associated with the acquisition of vancomycin-resistant enterococci. Empiric antifungal therapy may reduce the incidence of secondary fungal pancreatic infections. Systemic bloodstream infections at extrapancreatic sites can lead to seeding of pancreatic pseudocysts. Postoperative infections frequently include gram-pos\u2026", "author" : [ { "dropping-particle" : "", "family" : "Behrman", "given" : "Stephen W.", "non-dropping-particle" : "", "parse-names" : false, "suffix" : "" }, { "dropping-particle" : "", "family" : "Bahr", "given" : "Michael H", "non-dropping-particle" : "", "parse-names" : false, "suffix" : "" }, { "dropping-particle" : "V", "family" : "Dickson", "given" : "Paxton", "non-dropping-particle" : "", "parse-names" : false, "suffix" : "" }, { "dropping-particle" : "", "family" : "Zarzaur", "given" : "Ben L", "non-dropping-particle" : "", "parse-names" : false, "suffix" : "" } ], "container-title" : "Archives of Surgery", "id" : "ITEM-1", "issue" : "5", "issued" : { "date-parts" : [ [ "2011", "5", "1" ] ] }, "page" : "613", "title" : "The Microbiology of Secondary and Postoperative Pancreatic Infections", "type" : "article-journal", "volume" : "146" }, "uris" : [ "http://www.mendeley.com/documents/?uuid=8c704a8b-c540-37b6-b26c-d571dd68b239" ] } ], "mendeley" : { "formattedCitation" : "[25]", "plainTextFormattedCitation" : "[25]", "previouslyFormattedCitation" : "&lt;sup&gt;25&lt;/sup&gt;" }, "properties" : {  }, "schema" : "https://github.com/citation-style-language/schema/raw/master/csl-citation.json" }</w:instrText>
      </w:r>
      <w:r w:rsidRPr="000D35D4">
        <w:rPr>
          <w:lang w:val="en-US"/>
        </w:rPr>
        <w:fldChar w:fldCharType="separate"/>
      </w:r>
      <w:r w:rsidR="00625C5F" w:rsidRPr="00625C5F">
        <w:rPr>
          <w:noProof/>
          <w:lang w:val="en-US"/>
        </w:rPr>
        <w:t>[25]</w:t>
      </w:r>
      <w:r w:rsidRPr="000D35D4">
        <w:rPr>
          <w:lang w:val="en-US"/>
        </w:rPr>
        <w:fldChar w:fldCharType="end"/>
      </w:r>
      <w:r w:rsidRPr="000D35D4">
        <w:rPr>
          <w:lang w:val="en-US"/>
        </w:rPr>
        <w:t>. In addition, patients in whom no pancreatic fistula was suspected on abdominal CT scan but with 2 out of the 4 SIRS criteria should also receive antibiotic treatment.</w:t>
      </w:r>
    </w:p>
    <w:p w:rsidR="004F7AFD" w:rsidRPr="000D35D4" w:rsidRDefault="004F7AFD" w:rsidP="004F7AFD">
      <w:pPr>
        <w:spacing w:after="0"/>
        <w:jc w:val="both"/>
        <w:rPr>
          <w:lang w:val="en-US"/>
        </w:rPr>
        <w:sectPr w:rsidR="004F7AFD" w:rsidRPr="000D35D4">
          <w:pgSz w:w="11906" w:h="16838"/>
          <w:pgMar w:top="1417" w:right="1417" w:bottom="1417" w:left="1417" w:header="708" w:footer="708" w:gutter="0"/>
          <w:cols w:space="708"/>
          <w:docGrid w:linePitch="360"/>
        </w:sectPr>
      </w:pPr>
    </w:p>
    <w:p w:rsidR="004F7AFD" w:rsidRPr="000D35D4" w:rsidRDefault="004F7AFD" w:rsidP="004F7AFD">
      <w:pPr>
        <w:spacing w:after="0"/>
        <w:jc w:val="both"/>
        <w:rPr>
          <w:lang w:val="en-US"/>
        </w:rPr>
      </w:pPr>
      <w:r w:rsidRPr="000D35D4">
        <w:rPr>
          <w:b/>
          <w:noProof/>
          <w:lang w:eastAsia="nl-NL"/>
        </w:rPr>
        <w:lastRenderedPageBreak/>
        <w:drawing>
          <wp:inline distT="0" distB="0" distL="0" distR="0" wp14:anchorId="2BE96FDA" wp14:editId="3574B737">
            <wp:extent cx="5760720" cy="2112010"/>
            <wp:effectExtent l="0" t="0" r="0" b="254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2112010"/>
                    </a:xfrm>
                    <a:prstGeom prst="rect">
                      <a:avLst/>
                    </a:prstGeom>
                  </pic:spPr>
                </pic:pic>
              </a:graphicData>
            </a:graphic>
          </wp:inline>
        </w:drawing>
      </w:r>
    </w:p>
    <w:p w:rsidR="004F7AFD" w:rsidRPr="000D35D4" w:rsidRDefault="004F7AFD" w:rsidP="004F7AFD">
      <w:pPr>
        <w:spacing w:after="0"/>
        <w:jc w:val="both"/>
        <w:rPr>
          <w:lang w:val="en-US"/>
        </w:rPr>
      </w:pPr>
    </w:p>
    <w:p w:rsidR="004F7AFD" w:rsidRPr="000D35D4" w:rsidRDefault="004F7AFD" w:rsidP="004F7AFD">
      <w:pPr>
        <w:spacing w:after="0"/>
        <w:jc w:val="both"/>
        <w:rPr>
          <w:b/>
          <w:lang w:val="en-US"/>
        </w:rPr>
      </w:pPr>
      <w:r w:rsidRPr="000D35D4">
        <w:rPr>
          <w:b/>
          <w:lang w:val="en-US"/>
        </w:rPr>
        <w:t>General considerations when evaluating the removal of abdominal drains</w:t>
      </w:r>
    </w:p>
    <w:p w:rsidR="004F7AFD" w:rsidRPr="000D35D4" w:rsidRDefault="004F7AFD" w:rsidP="004F7AFD">
      <w:pPr>
        <w:numPr>
          <w:ilvl w:val="0"/>
          <w:numId w:val="11"/>
        </w:numPr>
        <w:spacing w:after="0"/>
        <w:contextualSpacing/>
        <w:jc w:val="both"/>
        <w:rPr>
          <w:lang w:val="en-US"/>
        </w:rPr>
      </w:pPr>
      <w:r w:rsidRPr="000D35D4">
        <w:rPr>
          <w:lang w:val="en-US"/>
        </w:rPr>
        <w:t>Because abdominal drains are also a source of infection, these should be removed at the earliest possibility</w:t>
      </w:r>
    </w:p>
    <w:p w:rsidR="004F7AFD" w:rsidRPr="000D35D4" w:rsidRDefault="004F7AFD" w:rsidP="004F7AFD">
      <w:pPr>
        <w:numPr>
          <w:ilvl w:val="0"/>
          <w:numId w:val="11"/>
        </w:numPr>
        <w:contextualSpacing/>
        <w:rPr>
          <w:lang w:val="en-US"/>
        </w:rPr>
      </w:pPr>
      <w:r w:rsidRPr="000D35D4">
        <w:rPr>
          <w:lang w:val="en-US"/>
        </w:rPr>
        <w:t xml:space="preserve">Drain fluid should be assessed for each drain separately </w:t>
      </w:r>
    </w:p>
    <w:p w:rsidR="004F7AFD" w:rsidRPr="000D35D4" w:rsidRDefault="004F7AFD" w:rsidP="004F7AFD">
      <w:pPr>
        <w:numPr>
          <w:ilvl w:val="0"/>
          <w:numId w:val="11"/>
        </w:numPr>
        <w:spacing w:after="0"/>
        <w:contextualSpacing/>
        <w:jc w:val="both"/>
        <w:rPr>
          <w:lang w:val="en-US"/>
        </w:rPr>
      </w:pPr>
      <w:r w:rsidRPr="000D35D4">
        <w:rPr>
          <w:lang w:val="en-US"/>
        </w:rPr>
        <w:t>Evaluation starts on postoperative day 3 for as long as there are drains in place</w:t>
      </w:r>
      <w:r w:rsidRPr="000D35D4">
        <w:rPr>
          <w:lang w:val="en-US"/>
        </w:rPr>
        <w:fldChar w:fldCharType="begin" w:fldLock="1"/>
      </w:r>
      <w:r w:rsidR="00625C5F">
        <w:rPr>
          <w:lang w:val="en-US"/>
        </w:rPr>
        <w:instrText>ADDIN CSL_CITATION { "citationItems" : [ { "id" : "ITEM-1", "itemData" : { "DOI" : "10.1097/SLA.0000000000001832", "ISBN" : "0000000000", "ISSN" : "15281140", "PMID" : "27280502", "abstract" : "Objective: This multicenter study sought to prospectively evaluate a drain management protocol for pancreatoduodenectomy (PD).\\nBackground: Recent evidence suggests value for both selective drain placement and early drain removal for PD. Both strategies have been associated with reduced rates of clinically relevant pancreatic fistula (CR-POPF)-the most common and morbid complication after PD.\\nMethods: The protocol was applied to 260 consecutive PDs performed at two institutions over 17 months. Risk for ISGPF CR-POPF was determined intraoperatively using the Fistula Risk Score (FRS); drains were omitted in negligible/low risk patients and drain fluid amylase (DFA) was measured on postoperative day 1 (POD 1) for moderate/high risk patients. Drains were removed early (POD 3) in patients with POD 1 DFA &lt;=5,000 U/L, whereas patients with POD 1 DFA &gt;5,000 U/L were managed by clinical discretion. Outcomes were compared with a historical cohort (N = 557; 2011-2014).\\nResults: Fistula risk did not differ between cohorts (median FRS: 4 vs 4; P = 0.933). No CR-POPFs developed in the 70 (26.9%) negligible/low risk patients. Overall CR-POPF rates were significantly lower after protocol implementation (11.2 vs 20.6%, P = 0.001). The protocol cohort also demonstrated lower rates of severe complication, any complication, reoperation, and percutaneous drainage (all P &lt; 0.05). These patients also experienced reduced hospital stay (median: 8 days vs 9 days, P = 0.001). There were no differences between cohorts in the frequency of bile or chyle leaks.\\nConclusions: Drains can be safely omitted for one-quarter of PDs. Drain amylase analysis identifies which moderate/high risk patients benefit from early drain removal. This data-driven, risk-stratified approach significantly decreases the occurrence of clinically relevant pancreatic fistula.\\nCopyright (C) 2016 Wolters Kluwer Health, Inc. All rights reserved.", "author" : [ { "dropping-particle" : "", "family" : "McMillan", "given" : "Matthew T.", "non-dropping-particle" : "", "parse-names" : false, "suffix" : "" }, { "dropping-particle" : "", "family" : "Malleo", "given" : "Giuseppe", "non-dropping-particle" : "", "parse-names" : false, "suffix" : "" }, { "dropping-particle" : "", "family" : "Bassi", "given" : "Claudio", "non-dropping-particle" : "", "parse-names" : false, "suffix" : "" }, { "dropping-particle" : "", "family" : "Allegrini", "given" : "Valentina", "non-dropping-particle" : "", "parse-names" : false, "suffix" : "" }, { "dropping-particle" : "", "family" : "Casetti", "given" : "Luca", "non-dropping-particle" : "", "parse-names" : false, "suffix" : "" }, { "dropping-particle" : "", "family" : "Drebin", "given" : "Jeffrey A.", "non-dropping-particle" : "", "parse-names" : false, "suffix" : "" }, { "dropping-particle" : "", "family" : "Esposito", "given" : "Alessandro", "non-dropping-particle" : "", "parse-names" : false, "suffix" : "" }, { "dropping-particle" : "", "family" : "Landoni", "given" : "Luca", "non-dropping-particle" : "", "parse-names" : false, "suffix" : "" }, { "dropping-particle" : "", "family" : "Lee", "given" : "Major K.", "non-dropping-particle" : "", "parse-names" : false, "suffix" : "" }, { "dropping-particle" : "", "family" : "Pulvirenti", "given" : "Alessandra", "non-dropping-particle" : "", "parse-names" : false, "suffix" : "" }, { "dropping-particle" : "", "family" : "Roses", "given" : "Robert E.", "non-dropping-particle" : "", "parse-names" : false, "suffix" : "" }, { "dropping-particle" : "", "family" : "Salvia", "given" : "Roberto", "non-dropping-particle" : "", "parse-names" : false, "suffix" : "" }, { "dropping-particle" : "", "family" : "Vollmer", "given" : "Charles M.", "non-dropping-particle" : "", "parse-names" : false, "suffix" : "" } ], "container-title" : "Annals of Surgery", "id" : "ITEM-1", "issue" : "6", "issued" : { "date-parts" : [ [ "2017", "6", "24" ] ] }, "page" : "1209-1218", "title" : "Multicenter, prospective trial of selective drain management for pancreatoduodenectomy using risk stratification", "type" : "article-journal", "volume" : "265" }, "uris" : [ "http://www.mendeley.com/documents/?uuid=5886450a-b3e3-413e-94b6-2d8a73856aec" ] } ], "mendeley" : { "formattedCitation" : "[26]", "plainTextFormattedCitation" : "[26]", "previouslyFormattedCitation" : "&lt;sup&gt;26&lt;/sup&gt;" }, "properties" : {  }, "schema" : "https://github.com/citation-style-language/schema/raw/master/csl-citation.json" }</w:instrText>
      </w:r>
      <w:r w:rsidRPr="000D35D4">
        <w:rPr>
          <w:lang w:val="en-US"/>
        </w:rPr>
        <w:fldChar w:fldCharType="separate"/>
      </w:r>
      <w:r w:rsidR="00625C5F" w:rsidRPr="00625C5F">
        <w:rPr>
          <w:noProof/>
          <w:lang w:val="en-US"/>
        </w:rPr>
        <w:t>[26]</w:t>
      </w:r>
      <w:r w:rsidRPr="000D35D4">
        <w:rPr>
          <w:lang w:val="en-US"/>
        </w:rPr>
        <w:fldChar w:fldCharType="end"/>
      </w:r>
    </w:p>
    <w:p w:rsidR="004F7AFD" w:rsidRPr="000D35D4" w:rsidRDefault="004F7AFD" w:rsidP="004F7AFD">
      <w:pPr>
        <w:numPr>
          <w:ilvl w:val="0"/>
          <w:numId w:val="11"/>
        </w:numPr>
        <w:contextualSpacing/>
        <w:rPr>
          <w:lang w:val="en-US"/>
        </w:rPr>
      </w:pPr>
      <w:r w:rsidRPr="000D35D4">
        <w:rPr>
          <w:lang w:val="en-US"/>
        </w:rPr>
        <w:t xml:space="preserve">Patients should be in good clinical condition for at least 24 hours. As indication for abdominal CT scan was made primarily on clinical condition, these criteria were also used in this part of the algorithm </w:t>
      </w:r>
    </w:p>
    <w:p w:rsidR="004F7AFD" w:rsidRPr="000D35D4" w:rsidRDefault="004F7AFD" w:rsidP="004F7AFD">
      <w:pPr>
        <w:spacing w:after="0"/>
        <w:rPr>
          <w:i/>
          <w:lang w:val="en-US"/>
        </w:rPr>
      </w:pPr>
    </w:p>
    <w:p w:rsidR="004F7AFD" w:rsidRPr="000D35D4" w:rsidRDefault="004F7AFD" w:rsidP="004F7AFD">
      <w:pPr>
        <w:spacing w:after="0"/>
        <w:rPr>
          <w:i/>
          <w:lang w:val="en-US"/>
        </w:rPr>
      </w:pPr>
      <w:r w:rsidRPr="000D35D4">
        <w:rPr>
          <w:i/>
          <w:lang w:val="en-US"/>
        </w:rPr>
        <w:t>Drain amylase level</w:t>
      </w:r>
    </w:p>
    <w:p w:rsidR="004F7AFD" w:rsidRPr="000D35D4" w:rsidRDefault="004F7AFD" w:rsidP="004F7AFD">
      <w:pPr>
        <w:spacing w:after="0"/>
        <w:rPr>
          <w:lang w:val="en-US"/>
        </w:rPr>
      </w:pPr>
      <w:r w:rsidRPr="000D35D4">
        <w:rPr>
          <w:lang w:val="en-US"/>
        </w:rPr>
        <w:t xml:space="preserve">For early elevation in drain amylase levels are mostly used to predict pancreatic fistula, only the association between elevation in drain amylase level </w:t>
      </w:r>
      <w:r w:rsidRPr="000D35D4">
        <w:rPr>
          <w:i/>
          <w:lang w:val="en-US"/>
        </w:rPr>
        <w:t xml:space="preserve">on or after postoperative day 3 </w:t>
      </w:r>
      <w:r w:rsidRPr="000D35D4">
        <w:rPr>
          <w:lang w:val="en-US"/>
        </w:rPr>
        <w:t xml:space="preserve">following pancreatic resection and severe postoperative pancreatic fistula was evaluated for the </w:t>
      </w:r>
      <w:r>
        <w:rPr>
          <w:lang w:val="en-US"/>
        </w:rPr>
        <w:t>design</w:t>
      </w:r>
      <w:r w:rsidRPr="000D35D4">
        <w:rPr>
          <w:lang w:val="en-US"/>
        </w:rPr>
        <w:t xml:space="preserve"> of the algorithm. The outcomes of 9 studies</w:t>
      </w:r>
      <w:r w:rsidRPr="000D35D4">
        <w:rPr>
          <w:lang w:val="en-US"/>
        </w:rPr>
        <w:fldChar w:fldCharType="begin" w:fldLock="1"/>
      </w:r>
      <w:r w:rsidR="00625C5F">
        <w:rPr>
          <w:lang w:val="en-US"/>
        </w:rPr>
        <w:instrText>ADDIN CSL_CITATION { "citationItems" : [ { "id" : "ITEM-1", "itemData" : { "DOI" : "10.5754/hge12098", "PMID" : "22497944", "abstract" : "BACKGROUND/AIMS Based on the criteria of International Study Group on Pancreatic Fistula (ISGPF), the risk factors for grade B/C pancreatic fistula (PF) after pancreaticoduodenectomy (PD) were analyzed in this study. METHODOLOGY Between October 2006 and August 2010, 114 consecutive patients underwent PD at National Hospital Organization Osaka National Hospital. We compared the clinicopathological features between patients with grade B/C PF and those with PF-free/grade A PF. We also examined the relationship between PF formation and the drain amylase level on post-operative day (POD) 1 and POD 3. RESULTS Eighteen patients (15.8%) developed grade B/C P. Of these patients, four patients underwent reoperation. The mortality rate in patients with grade B/C PF was 5.6%(1/18). The non-dilated pancreatic duct (\u2264 3mm) was the only independent risk factor for grade B/C PF by a multivariate analysis (p=0.026). There were 45 patients who showed low (\u2264 three times serum amylase level)drain amylase level on POD 1 and none of them developed PF. CONCLUSIONS Although our study demonstrated that the non-dilated pancreatic duct is significantly correlated with the increased incidence of grade B/CPE patients with low amylase level of drainage fluid on POD 1 are thought to be safe from developing PE.", "author" : [ { "dropping-particle" : "", "family" : "Tsujie", "given" : "Masanori", "non-dropping-particle" : "", "parse-names" : false, "suffix" : "" }, { "dropping-particle" : "", "family" : "Nakamori", "given" : "Shoji", "non-dropping-particle" : "", "parse-names" : false, "suffix" : "" }, { "dropping-particle" : "", "family" : "Miyamoto", "given" : "Atushi Atsushi", "non-dropping-particle" : "", "parse-names" : false, "suffix" : "" }, { "dropping-particle" : "", "family" : "Yasui", "given" : "Masayoshi", "non-dropping-particle" : "", "parse-names" : false, "suffix" : "" }, { "dropping-particle" : "", "family" : "Ikenaga", "given" : "Masakazu", "non-dropping-particle" : "", "parse-names" : false, "suffix" : "" }, { "dropping-particle" : "", "family" : "Hirao", "given" : "Motohiro", "non-dropping-particle" : "", "parse-names" : false, "suffix" : "" }, { "dropping-particle" : "", "family" : "Fujitani", "given" : "Kazumasa", "non-dropping-particle" : "", "parse-names" : false, "suffix" : "" }, { "dropping-particle" : "", "family" : "Mishima", "given" : "Hideyuki", "non-dropping-particle" : "", "parse-names" : false, "suffix" : "" }, { "dropping-particle" : "", "family" : "Tsujinaka", "given" : "Toshimasa", "non-dropping-particle" : "", "parse-names" : false, "suffix" : "" } ], "container-title" : "Hepato-gastroenterology", "id" : "ITEM-1", "issue" : "120", "issued" : { "date-parts" : [ [ "2012", "4", "12" ] ] }, "page" : "2657-2660", "title" : "Risk Factors of PAncreatic Fistula after Pancreaticoduodenectomy - Patients with Low Drain Amylase Level on Postoperative Day 1 are Safe from Developing Pancreatic Fistula", "type" : "article-journal", "volume" : "59" }, "uris" : [ "http://www.mendeley.com/documents/?uuid=b0e275c2-93da-48ef-a651-d899081ed0d3" ] }, { "id" : "ITEM-2", "itemData" : { "DOI" : "10.3748/wjg.v20.i26.8691", "PMID" : "25024627", "abstract" : "AIM To determine predictors of clinically relevant pancreatic fistulas (CRPF) by measuring drain fluid amylase (DFA) in the early postoperative period. METHODS This prospective clinical study included 382 patients with periampullary tumors that were surgically resected at our department between March 2005 and October 2012. A cephalic duodenopancreatectomy (DP) was performed on all patients. Two closed suction drains were placed at the end of the surgery. The highest postoperative DFA value was recorded and analyzed during the first three postoperative days and on subsequent days if the drains were kept longer. Pancreatic fistula (PF) was classified according to the International Study Group of Pancreatic Fistula (ISGPF) criteria. Postoperative complications were defined according to the Dindo-Clavien classification. All data were statistically analyzed. The optimal thresholds of DFA levels on the first, second and third postoperative days were estimated by constructing receiver operating curves, generated by calculating the sensitivities and specificities of the DFA levels. The DFA level limits were used to differentiate between the group without PF and the groups with biochemical pancreatic fistula (BPF) and CRPF. RESULTS Pylorus-preserving duodenopancreatectomy was performed on 289 (75.6%) patients, while the remaining patients underwent a classic Whipple procedure (CW). The total incidence of PF was 37.7% (grade A 22.8%, grade B 11.0% and grade C 3.9%). Soft pancreatic texture (SPT) was present in 58.3% of patients who developed PF. Mortality was 4.2%. The median DFA value on the first postoperative day (DFA1) in patients who developed PF was 4520 U/L (range 350-99000 U/L) for grade A fistula (BPF) with a SPT and a diameter of the main pancreatic duct (MPD) of \u2264 3 mm. For grade B/C (CRPF), the median DFA1 value was 8501 U/L (range 377-92060 U/L) with a SPT and MPD of \u2264 3 mm. These values were significantly higher when compared to the patients who did not have PF (122; range 5-37875 U/L). The upper limit of DFA values for the first 3 postoperative days in the examined stages of PF were: DFA1 1200 U/L for the BPF and CRPF; DFA3 350 U/L for BPF and DFA3 800 U/L for CRPF. The determined values were highly significant and demonstrated a reliable diagnostic test for both BPF and CRPF. CONCLUSION DFA1 \u2265 1200 U/L is an important predictive factor for PF of any degree. The trend of DFA3 (decrease of &lt; 50%) compared to DFA1 is a significant factor in the diffe\u2026", "author" : [ { "dropping-particle" : "", "family" : "Dugalic", "given" : "Vladimir D", "non-dropping-particle" : "", "parse-names" : false, "suffix" : "" }, { "dropping-particle" : "", "family" : "Knezevic", "given" : "Djordje M", "non-dropping-particle" : "", "parse-names" : false, "suffix" : "" }, { "dropping-particle" : "", "family" : "Obradovic", "given" : "Vladan N", "non-dropping-particle" : "", "parse-names" : false, "suffix" : "" }, { "dropping-particle" : "", "family" : "Gojnic-Dugalic", "given" : "Miroslava G", "non-dropping-particle" : "", "parse-names" : false, "suffix" : "" }, { "dropping-particle" : "V", "family" : "Matic", "given" : "Slavko", "non-dropping-particle" : "", "parse-names" : false, "suffix" : "" }, { "dropping-particle" : "", "family" : "Pavlovic-Markovic", "given" : "Aleksandra R", "non-dropping-particle" : "", "parse-names" : false, "suffix" : "" }, { "dropping-particle" : "", "family" : "Dugalic", "given" : "Predrag D", "non-dropping-particle" : "", "parse-names" : false, "suffix" : "" }, { "dropping-particle" : "", "family" : "Knezevic", "given" : "Srbislav M", "non-dropping-particle" : "", "parse-names" : false, "suffix" : "" } ], "container-title" : "World journal of gastroenterology", "id" : "ITEM-2", "issue" : "26", "issued" : { "date-parts" : [ [ "2014", "7", "14" ] ] }, "page" : "8691-9", "title" : "Drain amylase value as an early predictor of pancreatic fistula after cephalic duodenopancreatectomy.", "type" : "article-journal", "volume" : "20" }, "uris" : [ "http://www.mendeley.com/documents/?uuid=f60a092f-08ff-3e56-8f30-6edec4707826" ] }, { "id" : "ITEM-3",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"ITEM-3",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"id" : "ITEM-4",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"ITEM-4", "issue" : "7", "issued" : { "date-parts" : [ [ "2014", "6" ] ] }, "page" : "702-707", "title" : "Indicators for proper management of surgical drains following pancreaticoduodenectomy", "type" : "article-journal", "volume" : "109" }, "uris" : [ "http://www.mendeley.com/documents/?uuid=87c49819-d860-320e-8b01-3180c8f587af" ] }, { "id" : "ITEM-5",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"ITEM-5",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"id" : "ITEM-6", "itemData" : { "DOI" : "10.5754/hge11655", "PMID" : "23732781", "abstract" : "BACKGROUND/AIMS Effectiveness of infection control for prevention of pancreatic fistula (PF) after pancreaticoduodenectomy (PD) is not clear. We analyzed the impact of infection on the development of PF and examined the effect of enhanced infection control to prevent PF. METHODOLOGY Amylase level (D-amylase) and bacterial culture (D-culture) of drainage fluid were evaluated on POD 1, 3, 5 and 7, in 90 consecutive patients with soft pancreas who underwent PD. The study period was divided into two periods. The relationship between D-amylase and D-culture was examined, and the clinicopathological factors predicting PF were analyzed in the first period. Then, anti-infection measures were introduced in the second period, and the effect of enhanced infection control was examined. RESULTS Twenty-nine out of 58 patients (50.0%) developed PF in the first period. D-amylase were higher in patients with D-culture infection than in those without it (p&lt;0.05). D-amylase above 10,000IU/L on POD1 and D-culture infection on POD3 were independent predictive factors for PF by multivariate analysis (p&lt;0.01). After introduction of enhanced infection control in the second period, four out of 32 patients (12.5%) developed PF. The rates of PF and D-culture infection were significantly reduced (p&lt;0.05). CONCLUSIONS Infection of drainage fluid is related to an increased level of amylase, resulting in PF. Enhanced infection control can effectively prevent PF after PD in soft pancreas.", "author" : [ { "dropping-particle" : "", "family" : "Kobayashi", "given" : "Shin", "non-dropping-particle" : "", "parse-names" : false, "suffix" : "" }, { "dropping-particle" : "", "family" : "Gotohda", "given" : "Naoto", "non-dropping-particle" : "", "parse-names" : false, "suffix" : "" }, { "dropping-particle" : "", "family" : "Kato", "given" : "Yuichiro", "non-dropping-particle" : "", "parse-names" : false, "suffix" : "" }, { "dropping-particle" : "", "family" : "Takahashi", "given" : "Shinichiro", "non-dropping-particle" : "", "parse-names" : false, "suffix" : "" }, { "dropping-particle" : "", "family" : "Konishi", "given" : "Masaru", "non-dropping-particle" : "", "parse-names" : false, "suffix" : "" }, { "dropping-particle" : "", "family" : "Kinoshita", "given" : "Taira", "non-dropping-particle" : "", "parse-names" : false, "suffix" : "" } ], "container-title" : "Hepato-gastroenterology", "id" : "ITEM-6", "issue" : "124", "issued" : { "date-parts" : [ [ "2013", "6" ] ] }, "page" : "876-82", "title" : "Infection control for prevention of pancreatic fistula after pancreaticoduodenectomy.", "type" : "article-journal", "volume" : "60" }, "uris" : [ "http://www.mendeley.com/documents/?uuid=090f94d8-6d1e-3e18-96bf-faada78b9e37" ] }, { "id" : "ITEM-7", "itemData" : { "DOI" : "10.1007/s00268-013-1998-5", "PMID" : "23494109", "abstract" : "BACKGROUND Postoperative pancreatic fistula (POPF) after pancreaticoduodenectomy (PD) remains a challenge even at high-volume centers. METHODS This study was designed to analyze perioperative risk factors for POPF after PD and evaluate the factors that predict the extent and severity of leak. Demographic data, preoperative, intraoperative, and postoperative variables were collected. RESULTS A total of 471 consecutive patients underwent PD in our center. Fifty-seven patients (12.1 %) developed a POPF of any type; 21 patients (4.5 %) had a fistula type A, 22 patients (4.7 %) had a fistula type B, and the remaining 14 patients (3 %) had a POPF type C. Cirrhotic liver (P = 0.05), BMI &gt; 25 kg/m(2) (P = 0.0001), soft pancreas (P = 0.04), pancreatic duct diameter &lt;3 mm (0.0001), pancreatic duct located &lt;3 mm from the posterior border (P = 0.02) were significantly associated with POPF. With the multivariate analysis, both BMI and pancreatic duct diameter were demonstrated to be independent factors. The hospital mortality in this series was 11 patients (2.3 %), and the development of POPF type C was associated with a significantly increased mortality (7/14 patients). The following factors were predictors of clinically evident POPF: a postoperative day (POD) 1 and 5 drain amylase level &gt;4,000 IU/L, WBC, pancreatic duct diameter &lt;3 mm, and pancreatic texture. CONCLUSIONS Cirrhotic liver, BMI, soft pancreas, pancreatic duct diameter &lt;3 mm, pancreatic duct near the posterior border are risk factors for development of POPF. In addition a drain amylase level &gt;4,000 IU/L on POD 1 and 5, WBC, pancreatic duct diameter, pancreatic texture may be predictors of POPF B, C.", "author" : [ { "dropping-particle" : "", "family" : "Nakeeb", "given" : "Ayman", "non-dropping-particle" : "El", "parse-names" : false, "suffix" : "" }, { "dropping-particle" : "", "family" : "Salah", "given" : "Tarek", "non-dropping-particle" : "", "parse-names" : false, "suffix" : "" }, { "dropping-particle" : "", "family" : "Sultan", "given" : "Ahmad", "non-dropping-particle" : "", "parse-names" : false, "suffix" : "" }, { "dropping-particle" : "", "family" : "Hemaly", "given" : "Mohamed", "non-dropping-particle" : "El", "parse-names" : false, "suffix" : "" }, { "dropping-particle" : "", "family" : "Askr", "given" : "Waleed", "non-dropping-particle" : "", "parse-names" : false, "suffix" : "" }, { "dropping-particle" : "", "family" : "Ezzat", "given" : "Helmy", "non-dropping-particle" : "", "parse-names" : false, "suffix" : "" }, { "dropping-particle" : "", "family" : "Hamdy", "given" : "Emad", "non-dropping-particle" : "", "parse-names" : false, "suffix" : "" }, { "dropping-particle" : "", "family" : "Atef", "given" : "Ehab", "non-dropping-particle" : "", "parse-names" : false, "suffix" : "" }, { "dropping-particle" : "", "family" : "Hanafy", "given" : "Ehab", "non-dropping-particle" : "El", "parse-names" : false, "suffix" : "" }, { "dropping-particle" : "", "family" : "El-Geidie", "given" : "Ahmed", "non-dropping-particle" : "", "parse-names" : false, "suffix" : "" }, { "dropping-particle" : "", "family" : "Abdel Wahab", "given" : "Mohamed", "non-dropping-particle" : "", "parse-names" : false, "suffix" : "" }, { "dropping-particle" : "", "family" : "Abdallah", "given" : "Talaat", "non-dropping-particle" : "", "parse-names" : false, "suffix" : "" }, { "dropping-particle" : "", "family" : "El", "given" : "Ayman", "non-dropping-particle" : "", "parse-names" : false, "suffix" : "" }, { "dropping-particle" : "", "family" : "Tarek", "given" : "Nakeeb", "non-dropping-particle" : "", "parse-names" : false, "suffix" : "" }, { "dropping-particle" : "", "family" : "Ahmad", "given" : "Salah", "non-dropping-particle" : "", "parse-names" : false, "suffix" : "" }, { "dropping-particle" : "", "family" : "Mohamed", "given" : "Sultan", "non-dropping-particle" : "", "parse-names" : false, "suffix" : "" }, { "dropping-particle" : "", "family" : "Hemaly", "given" : "El", "non-dropping-particle" : "", "parse-names" : false, "suffix" : "" } ], "container-title" : "World Journal of Gastroenterology", "id" : "ITEM-7", "issue" : "6", "issued" : { "date-parts" : [ [ "2013", "6", "15" ] ] }, "title" : "Pancreatic Anastomotic Leakage after Pancreaticoduodenectomy. Risk factors, Clinical predictors, and Management (Single Center Experience)", "type" : "article-journal", "volume" : "37" }, "uris" : [ "http://www.mendeley.com/documents/?uuid=07ebdf6b-7d16-40c8-8e71-a4cc7a118e56" ] }, { "id" : "ITEM-8", "itemData" : { "DOI" : "10.1016/j.gassur.2005.08.029", "ISSN" : "1091255X", "PMID" : "16627213", "abstract" : "Pancreatic anastomotic leak (leak) remains a persistent problem after pancreaticoduodenectomy (PD). Recent reports indicate a mean occurrence of 10% with a range of 2%-28% of patients. However, valid comparisons for these studies cannot be made because the definition of leak is variable, and many patients deemed to have a leak are not sick. The aim of this study was to determine the meaning of the volume and amylase content of the effluent from surgical drains by comparing these values to actual clinical outcomes. From January 1996 to July 2002, 207 consecutive patients underwent PD. We considered a leak to be present if greater than 30 ml/day of drainage was observed from drains and if that drainage contained an amylase-rich fluid (greater than 5X serum) on or after postoperative day (POD) 5. Cases were then divided into three groups-no leak, chemical leak only (leak but asymptomatic), and a clinical leak group (leak that required therapeutic intervention, reoperation, readmission, or prolonged length of stay). Then the drainage volume and its amylase concentration for every postoperative day were compared between the three groups. There were no operative or hospital deaths, and the mean length of stay (LOS) was 11.2 +/- 6.1 days. Prolonged LOS was set at greater than 17 days (one standard deviation beyond the mean LOS for all cases). Leak was observed in 14% of cases (n = 29) and the patients were subsequently divided into these groups: no leak (n = 178), chemical leak only (n = 12), and clinical leak (n = 17). Surprisingly, the daily drain amylase values did not differ between the chemical leak group and the clinical leak group. The daily volume of drainage on POD 5-8 for the clinical leak group was significantly greater than the volumes of the other two groups, so that a combination of greater than 200 ml/day of drainage on POD 5 with an amylase greater than 5X serum had a positive predictive value (PPV) of 84% and a negative predictive value (NPV) of 99% for a clinically relevant leak. We used broad criteria from drainage effluent to include as many potential leaks as possible. This broad definition of leak selected 14% of the PD patients as having a leak; within this group, all of the clinical complications of leak occurred. By increasing the volume criteria from greater than 30 ml per day to greater than 200 ml per day, the PPV was increased from 59% to 84% while keeping NPV at 99%. Drain data based on the volume and amylase criteria of this stud\u2026", "author" : [ { "dropping-particle" : "", "family" : "Shinchi", "given" : "Hiroyuki", "non-dropping-particle" : "", "parse-names" : false, "suffix" : "" }, { "dropping-particle" : "", "family" : "WADA", "given" : "Keita", "non-dropping-particle" : "", "parse-names" : false, "suffix" : "" }, { "dropping-particle" : "", "family" : "TRAVERSO", "given" : "L William", "non-dropping-particle" : "", "parse-names" : false, "suffix" : "" } ], "container-title" : "Journal of Gastrointestinal Surgery", "id" : "ITEM-8", "issue" : "4", "issued" : { "date-parts" : [ [ "2006", "4" ] ] }, "page" : "490-498", "title" : "The Usefulness of Drain Data to Identify a Clinically Relevant Pancreatic Anastomotic Leak After Pancreaticoduodenectomy?", "type" : "article-journal", "volume" : "10" }, "uris" : [ "http://www.mendeley.com/documents/?uuid=eec39282-7a3d-453b-9153-d595c29f4c77" ] }, { "id" : "ITEM-9", "itemData" : { "DOI" : "10.1002/bjs.8774", "ISBN" : "1365-2168 (Electronic)\\r0007-1323 (Linking)", "ISSN" : "1365-2168", "PMID" : "22539219", "abstract" : "BACKGROUND: Pancreatic fistula (PF) is a major source of morbidity after pancreatectomy. The International Study Group on Pancreatic Fistula (ISGPF) defines postoperative fistula by an amylase concentration in the abdominal drain of more than three times the serum value on day 3 or more after surgery. However, this definition fails to identify some clinical fistulas. This study examined the association between lipase measured in abdominal drainage fluid and PF.\\n\\nMETHODS: Amylase and lipase levels in the abdominal drain were measured 3 days after pancreatic resection. Grade B and C fistulas were classified as clinical fistulas, regardless of whether the measured amylase concentration was considered positive or negative. The PF group included patients with a clinical fistula and/or those with positive amylase according to the ISGPF definition.\\n\\nRESULTS: Sixty-five patients were included. The median level of lipase was higher in patients with positive amylase than in those with negative amylase: 12,176 versus 64 units/l (P &lt; 0\u00b7001). The lipase level was 16,500 units/l in patients with a clinical fistula and 224 units/l in those without a clinical fistula (P = 0\u00b7001). Patients with a PF had a higher lipase concentration than those without: 7852 versus 64 units/l (P &lt; 0\u00b7001). A lipase level higher than 500 units/l yielded a sensitivity of 88 per cent and a specificity of 75 per cent for PF. For clinical fistulas the sensitivity was 93 per cent and specificity 77 per cent when the threshold for lipase was 1000 units/l.\\n\\nCONCLUSION: Lipase concentration in the abdominal drain correlated with PF. A threshold of 1000 units/l yielded a high sensitivity and specificity for the diagnosis of clinical PF.", "author" : [ { "dropping-particle" : "", "family" : "Facy", "given" : "O", "non-dropping-particle" : "", "parse-names" : false, "suffix" : "" }, { "dropping-particle" : "", "family" : "Chalumeau", "given" : "C", "non-dropping-particle" : "", "parse-names" : false, "suffix" : "" }, { "dropping-particle" : "", "family" : "Poussier", "given" : "M", "non-dropping-particle" : "", "parse-names" : false, "suffix" : "" }, { "dropping-particle" : "", "family" : "Binquet", "given" : "C", "non-dropping-particle" : "", "parse-names" : false, "suffix" : "" }, { "dropping-particle" : "", "family" : "Rat", "given" : "P", "non-dropping-particle" : "", "parse-names" : false, "suffix" : "" }, { "dropping-particle" : "", "family" : "Ortega-Deballon", "given" : "P", "non-dropping-particle" : "", "parse-names" : false, "suffix" : "" } ], "container-title" : "The British journal of surgery", "id" : "ITEM-9", "issue" : "8", "issued" : { "date-parts" : [ [ "2012", "8" ] ] }, "page" : "1072-5", "title" : "Diagnosis of postoperative pancreatic fistula.", "type" : "article-journal", "volume" : "99" }, "uris" : [ "http://www.mendeley.com/documents/?uuid=479095b4-e0db-4652-bce3-a0c1d080e8e7" ] } ], "mendeley" : { "formattedCitation" : "[4,6,8,27\u201332]", "plainTextFormattedCitation" : "[4,6,8,27\u201332]", "previouslyFormattedCitation" : "&lt;sup&gt;4,6,8,27\u201332&lt;/sup&gt;" }, "properties" : {  }, "schema" : "https://github.com/citation-style-language/schema/raw/master/csl-citation.json" }</w:instrText>
      </w:r>
      <w:r w:rsidRPr="000D35D4">
        <w:rPr>
          <w:lang w:val="en-US"/>
        </w:rPr>
        <w:fldChar w:fldCharType="separate"/>
      </w:r>
      <w:r w:rsidR="00625C5F" w:rsidRPr="00625C5F">
        <w:rPr>
          <w:noProof/>
          <w:lang w:val="en-US"/>
        </w:rPr>
        <w:t>[4,6,8,27–32]</w:t>
      </w:r>
      <w:r w:rsidRPr="000D35D4">
        <w:rPr>
          <w:lang w:val="en-US"/>
        </w:rPr>
        <w:fldChar w:fldCharType="end"/>
      </w:r>
      <w:r w:rsidRPr="000D35D4">
        <w:rPr>
          <w:lang w:val="en-US"/>
        </w:rPr>
        <w:t xml:space="preserve"> on a total of 1655 patients were evaluated and are provided in the table below.</w:t>
      </w:r>
    </w:p>
    <w:p w:rsidR="004F7AFD" w:rsidRPr="000D35D4" w:rsidRDefault="004F7AFD" w:rsidP="004F7AFD">
      <w:pPr>
        <w:spacing w:after="0"/>
        <w:rPr>
          <w:lang w:val="en-US"/>
        </w:rPr>
      </w:pPr>
    </w:p>
    <w:tbl>
      <w:tblPr>
        <w:tblStyle w:val="Hyperlink"/>
        <w:tblW w:w="0" w:type="auto"/>
        <w:tblLayout w:type="fixed"/>
        <w:tblLook w:val="04A0" w:firstRow="1" w:lastRow="0" w:firstColumn="1" w:lastColumn="0" w:noHBand="0" w:noVBand="1"/>
      </w:tblPr>
      <w:tblGrid>
        <w:gridCol w:w="1809"/>
        <w:gridCol w:w="567"/>
        <w:gridCol w:w="1134"/>
        <w:gridCol w:w="993"/>
        <w:gridCol w:w="708"/>
        <w:gridCol w:w="709"/>
        <w:gridCol w:w="709"/>
        <w:gridCol w:w="709"/>
        <w:gridCol w:w="708"/>
        <w:gridCol w:w="1134"/>
      </w:tblGrid>
      <w:tr w:rsidR="004F7AFD" w:rsidRPr="007F78C3" w:rsidTr="004F7AFD">
        <w:trPr>
          <w:trHeight w:val="397"/>
        </w:trPr>
        <w:tc>
          <w:tcPr>
            <w:tcW w:w="9180" w:type="dxa"/>
            <w:gridSpan w:val="10"/>
            <w:vAlign w:val="center"/>
          </w:tcPr>
          <w:p w:rsidR="004F7AFD" w:rsidRPr="000D35D4" w:rsidRDefault="004F7AFD" w:rsidP="004F7AFD">
            <w:pPr>
              <w:rPr>
                <w:b/>
                <w:lang w:val="en-US"/>
              </w:rPr>
            </w:pPr>
            <w:r w:rsidRPr="000D35D4">
              <w:rPr>
                <w:b/>
                <w:lang w:val="en-US"/>
              </w:rPr>
              <w:t>Table 4: Outcomes on diagnostic accuracy of drain amylase on or after postoperative day 3 for severe pancreatic fistula</w:t>
            </w:r>
          </w:p>
        </w:tc>
      </w:tr>
      <w:tr w:rsidR="004F7AFD" w:rsidRPr="000D35D4" w:rsidTr="004F7AFD">
        <w:trPr>
          <w:trHeight w:val="397"/>
        </w:trPr>
        <w:tc>
          <w:tcPr>
            <w:tcW w:w="1809" w:type="dxa"/>
            <w:vAlign w:val="center"/>
          </w:tcPr>
          <w:p w:rsidR="004F7AFD" w:rsidRPr="000D35D4" w:rsidRDefault="004F7AFD" w:rsidP="004F7AFD">
            <w:pPr>
              <w:rPr>
                <w:b/>
                <w:lang w:val="en-US"/>
              </w:rPr>
            </w:pPr>
            <w:r w:rsidRPr="000D35D4">
              <w:rPr>
                <w:b/>
                <w:lang w:val="en-US"/>
              </w:rPr>
              <w:t>Reference</w:t>
            </w:r>
          </w:p>
        </w:tc>
        <w:tc>
          <w:tcPr>
            <w:tcW w:w="567" w:type="dxa"/>
            <w:vAlign w:val="center"/>
          </w:tcPr>
          <w:p w:rsidR="004F7AFD" w:rsidRPr="000D35D4" w:rsidRDefault="004F7AFD" w:rsidP="004F7AFD">
            <w:pPr>
              <w:jc w:val="center"/>
              <w:rPr>
                <w:b/>
                <w:lang w:val="en-US"/>
              </w:rPr>
            </w:pPr>
            <w:r w:rsidRPr="000D35D4">
              <w:rPr>
                <w:b/>
                <w:lang w:val="en-US"/>
              </w:rPr>
              <w:t>N</w:t>
            </w:r>
          </w:p>
        </w:tc>
        <w:tc>
          <w:tcPr>
            <w:tcW w:w="1134" w:type="dxa"/>
            <w:vAlign w:val="center"/>
          </w:tcPr>
          <w:p w:rsidR="004F7AFD" w:rsidRPr="000D35D4" w:rsidRDefault="004F7AFD" w:rsidP="004F7AFD">
            <w:pPr>
              <w:jc w:val="center"/>
              <w:rPr>
                <w:b/>
                <w:lang w:val="en-US"/>
              </w:rPr>
            </w:pPr>
            <w:r w:rsidRPr="000D35D4">
              <w:rPr>
                <w:b/>
                <w:lang w:val="en-US"/>
              </w:rPr>
              <w:t>Severe PF</w:t>
            </w:r>
          </w:p>
        </w:tc>
        <w:tc>
          <w:tcPr>
            <w:tcW w:w="993" w:type="dxa"/>
            <w:vAlign w:val="center"/>
          </w:tcPr>
          <w:p w:rsidR="004F7AFD" w:rsidRPr="000D35D4" w:rsidRDefault="004F7AFD" w:rsidP="004F7AFD">
            <w:pPr>
              <w:jc w:val="center"/>
              <w:rPr>
                <w:b/>
                <w:lang w:val="en-US"/>
              </w:rPr>
            </w:pPr>
            <w:r w:rsidRPr="000D35D4">
              <w:rPr>
                <w:b/>
                <w:lang w:val="en-US"/>
              </w:rPr>
              <w:t>Cut-off*</w:t>
            </w:r>
          </w:p>
        </w:tc>
        <w:tc>
          <w:tcPr>
            <w:tcW w:w="708" w:type="dxa"/>
            <w:vAlign w:val="center"/>
          </w:tcPr>
          <w:p w:rsidR="004F7AFD" w:rsidRPr="000D35D4" w:rsidRDefault="004F7AFD" w:rsidP="004F7AFD">
            <w:pPr>
              <w:jc w:val="center"/>
              <w:rPr>
                <w:b/>
                <w:lang w:val="en-US"/>
              </w:rPr>
            </w:pPr>
            <w:r w:rsidRPr="000D35D4">
              <w:rPr>
                <w:b/>
                <w:lang w:val="en-US"/>
              </w:rPr>
              <w:t>Day</w:t>
            </w:r>
          </w:p>
        </w:tc>
        <w:tc>
          <w:tcPr>
            <w:tcW w:w="709" w:type="dxa"/>
            <w:vAlign w:val="center"/>
          </w:tcPr>
          <w:p w:rsidR="004F7AFD" w:rsidRPr="000D35D4" w:rsidRDefault="004F7AFD" w:rsidP="004F7AFD">
            <w:pPr>
              <w:jc w:val="center"/>
              <w:rPr>
                <w:b/>
                <w:lang w:val="en-US"/>
              </w:rPr>
            </w:pPr>
            <w:r w:rsidRPr="000D35D4">
              <w:rPr>
                <w:b/>
                <w:lang w:val="en-US"/>
              </w:rPr>
              <w:t>Sens</w:t>
            </w:r>
          </w:p>
        </w:tc>
        <w:tc>
          <w:tcPr>
            <w:tcW w:w="709" w:type="dxa"/>
            <w:vAlign w:val="center"/>
          </w:tcPr>
          <w:p w:rsidR="004F7AFD" w:rsidRPr="000D35D4" w:rsidRDefault="004F7AFD" w:rsidP="004F7AFD">
            <w:pPr>
              <w:jc w:val="center"/>
              <w:rPr>
                <w:b/>
                <w:lang w:val="en-US"/>
              </w:rPr>
            </w:pPr>
            <w:r w:rsidRPr="000D35D4">
              <w:rPr>
                <w:b/>
                <w:lang w:val="en-US"/>
              </w:rPr>
              <w:t>Spec</w:t>
            </w:r>
          </w:p>
        </w:tc>
        <w:tc>
          <w:tcPr>
            <w:tcW w:w="709" w:type="dxa"/>
            <w:vAlign w:val="center"/>
          </w:tcPr>
          <w:p w:rsidR="004F7AFD" w:rsidRPr="000D35D4" w:rsidRDefault="004F7AFD" w:rsidP="004F7AFD">
            <w:pPr>
              <w:jc w:val="center"/>
              <w:rPr>
                <w:b/>
                <w:lang w:val="en-US"/>
              </w:rPr>
            </w:pPr>
            <w:r w:rsidRPr="000D35D4">
              <w:rPr>
                <w:b/>
                <w:lang w:val="en-US"/>
              </w:rPr>
              <w:t>PPV</w:t>
            </w:r>
          </w:p>
        </w:tc>
        <w:tc>
          <w:tcPr>
            <w:tcW w:w="708" w:type="dxa"/>
            <w:vAlign w:val="center"/>
          </w:tcPr>
          <w:p w:rsidR="004F7AFD" w:rsidRPr="000D35D4" w:rsidRDefault="004F7AFD" w:rsidP="004F7AFD">
            <w:pPr>
              <w:jc w:val="center"/>
              <w:rPr>
                <w:b/>
                <w:lang w:val="en-US"/>
              </w:rPr>
            </w:pPr>
            <w:r w:rsidRPr="000D35D4">
              <w:rPr>
                <w:b/>
                <w:lang w:val="en-US"/>
              </w:rPr>
              <w:t>NPV</w:t>
            </w:r>
          </w:p>
        </w:tc>
        <w:tc>
          <w:tcPr>
            <w:tcW w:w="1134" w:type="dxa"/>
            <w:vAlign w:val="center"/>
          </w:tcPr>
          <w:p w:rsidR="004F7AFD" w:rsidRPr="000D35D4" w:rsidRDefault="004F7AFD" w:rsidP="004F7AFD">
            <w:pPr>
              <w:jc w:val="center"/>
              <w:rPr>
                <w:b/>
                <w:lang w:val="en-US"/>
              </w:rPr>
            </w:pPr>
            <w:r w:rsidRPr="000D35D4">
              <w:rPr>
                <w:b/>
                <w:lang w:val="en-US"/>
              </w:rPr>
              <w:t>Accuracy</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Tsujie</w:t>
            </w:r>
            <w:proofErr w:type="spellEnd"/>
            <w:r w:rsidRPr="000D35D4">
              <w:rPr>
                <w:lang w:val="en-US"/>
              </w:rPr>
              <w:t xml:space="preserve"> 2012</w:t>
            </w:r>
            <w:r w:rsidRPr="000D35D4">
              <w:rPr>
                <w:lang w:val="en-US"/>
              </w:rPr>
              <w:fldChar w:fldCharType="begin" w:fldLock="1"/>
            </w:r>
            <w:r w:rsidR="00625C5F">
              <w:rPr>
                <w:lang w:val="en-US"/>
              </w:rPr>
              <w:instrText>ADDIN CSL_CITATION { "citationItems" : [ { "id" : "ITEM-1", "itemData" : { "DOI" : "10.5754/hge12098", "PMID" : "22497944", "abstract" : "BACKGROUND/AIMS Based on the criteria of International Study Group on Pancreatic Fistula (ISGPF), the risk factors for grade B/C pancreatic fistula (PF) after pancreaticoduodenectomy (PD) were analyzed in this study. METHODOLOGY Between October 2006 and August 2010, 114 consecutive patients underwent PD at National Hospital Organization Osaka National Hospital. We compared the clinicopathological features between patients with grade B/C PF and those with PF-free/grade A PF. We also examined the relationship between PF formation and the drain amylase level on post-operative day (POD) 1 and POD 3. RESULTS Eighteen patients (15.8%) developed grade B/C P. Of these patients, four patients underwent reoperation. The mortality rate in patients with grade B/C PF was 5.6%(1/18). The non-dilated pancreatic duct (\u2264 3mm) was the only independent risk factor for grade B/C PF by a multivariate analysis (p=0.026). There were 45 patients who showed low (\u2264 three times serum amylase level)drain amylase level on POD 1 and none of them developed PF. CONCLUSIONS Although our study demonstrated that the non-dilated pancreatic duct is significantly correlated with the increased incidence of grade B/CPE patients with low amylase level of drainage fluid on POD 1 are thought to be safe from developing PE.", "author" : [ { "dropping-particle" : "", "family" : "Tsujie", "given" : "Masanori", "non-dropping-particle" : "", "parse-names" : false, "suffix" : "" }, { "dropping-particle" : "", "family" : "Nakamori", "given" : "Shoji", "non-dropping-particle" : "", "parse-names" : false, "suffix" : "" }, { "dropping-particle" : "", "family" : "Miyamoto", "given" : "Atushi Atsushi", "non-dropping-particle" : "", "parse-names" : false, "suffix" : "" }, { "dropping-particle" : "", "family" : "Yasui", "given" : "Masayoshi", "non-dropping-particle" : "", "parse-names" : false, "suffix" : "" }, { "dropping-particle" : "", "family" : "Ikenaga", "given" : "Masakazu", "non-dropping-particle" : "", "parse-names" : false, "suffix" : "" }, { "dropping-particle" : "", "family" : "Hirao", "given" : "Motohiro", "non-dropping-particle" : "", "parse-names" : false, "suffix" : "" }, { "dropping-particle" : "", "family" : "Fujitani", "given" : "Kazumasa", "non-dropping-particle" : "", "parse-names" : false, "suffix" : "" }, { "dropping-particle" : "", "family" : "Mishima", "given" : "Hideyuki", "non-dropping-particle" : "", "parse-names" : false, "suffix" : "" }, { "dropping-particle" : "", "family" : "Tsujinaka", "given" : "Toshimasa", "non-dropping-particle" : "", "parse-names" : false, "suffix" : "" } ], "container-title" : "Hepato-gastroenterology", "id" : "ITEM-1", "issue" : "120", "issued" : { "date-parts" : [ [ "2012", "4", "12" ] ] }, "page" : "2657-2660", "title" : "Risk Factors of PAncreatic Fistula after Pancreaticoduodenectomy - Patients with Low Drain Amylase Level on Postoperative Day 1 are Safe from Developing Pancreatic Fistula", "type" : "article-journal", "volume" : "59" }, "uris" : [ "http://www.mendeley.com/documents/?uuid=b0e275c2-93da-48ef-a651-d899081ed0d3" ] } ], "mendeley" : { "formattedCitation" : "[27]", "plainTextFormattedCitation" : "[27]", "previouslyFormattedCitation" : "&lt;sup&gt;27&lt;/sup&gt;" }, "properties" : {  }, "schema" : "https://github.com/citation-style-language/schema/raw/master/csl-citation.json" }</w:instrText>
            </w:r>
            <w:r w:rsidRPr="000D35D4">
              <w:rPr>
                <w:lang w:val="en-US"/>
              </w:rPr>
              <w:fldChar w:fldCharType="separate"/>
            </w:r>
            <w:r w:rsidR="00625C5F" w:rsidRPr="00625C5F">
              <w:rPr>
                <w:noProof/>
                <w:lang w:val="en-US"/>
              </w:rPr>
              <w:t>[27]</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114</w:t>
            </w:r>
          </w:p>
        </w:tc>
        <w:tc>
          <w:tcPr>
            <w:tcW w:w="1134" w:type="dxa"/>
            <w:vAlign w:val="center"/>
          </w:tcPr>
          <w:p w:rsidR="004F7AFD" w:rsidRPr="000D35D4" w:rsidRDefault="004F7AFD" w:rsidP="004F7AFD">
            <w:pPr>
              <w:jc w:val="center"/>
              <w:rPr>
                <w:lang w:val="en-US"/>
              </w:rPr>
            </w:pPr>
            <w:r w:rsidRPr="000D35D4">
              <w:rPr>
                <w:lang w:val="en-US"/>
              </w:rPr>
              <w:t>18</w:t>
            </w:r>
          </w:p>
        </w:tc>
        <w:tc>
          <w:tcPr>
            <w:tcW w:w="993" w:type="dxa"/>
            <w:vAlign w:val="center"/>
          </w:tcPr>
          <w:p w:rsidR="004F7AFD" w:rsidRPr="000D35D4" w:rsidRDefault="004F7AFD" w:rsidP="004F7AFD">
            <w:pPr>
              <w:jc w:val="center"/>
              <w:rPr>
                <w:lang w:val="en-US"/>
              </w:rPr>
            </w:pPr>
            <w:r w:rsidRPr="000D35D4">
              <w:rPr>
                <w:lang w:val="en-US"/>
              </w:rPr>
              <w:t>300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72</w:t>
            </w:r>
          </w:p>
        </w:tc>
        <w:tc>
          <w:tcPr>
            <w:tcW w:w="709" w:type="dxa"/>
            <w:vAlign w:val="center"/>
          </w:tcPr>
          <w:p w:rsidR="004F7AFD" w:rsidRPr="000D35D4" w:rsidRDefault="004F7AFD" w:rsidP="004F7AFD">
            <w:pPr>
              <w:jc w:val="center"/>
              <w:rPr>
                <w:lang w:val="en-US"/>
              </w:rPr>
            </w:pPr>
            <w:r w:rsidRPr="000D35D4">
              <w:rPr>
                <w:lang w:val="en-US"/>
              </w:rPr>
              <w:t>64</w:t>
            </w:r>
          </w:p>
        </w:tc>
        <w:tc>
          <w:tcPr>
            <w:tcW w:w="709" w:type="dxa"/>
            <w:vAlign w:val="center"/>
          </w:tcPr>
          <w:p w:rsidR="004F7AFD" w:rsidRPr="000D35D4" w:rsidRDefault="004F7AFD" w:rsidP="004F7AFD">
            <w:pPr>
              <w:jc w:val="center"/>
              <w:rPr>
                <w:lang w:val="en-US"/>
              </w:rPr>
            </w:pPr>
            <w:r w:rsidRPr="000D35D4">
              <w:rPr>
                <w:lang w:val="en-US"/>
              </w:rPr>
              <w:t>27</w:t>
            </w:r>
          </w:p>
        </w:tc>
        <w:tc>
          <w:tcPr>
            <w:tcW w:w="708" w:type="dxa"/>
            <w:vAlign w:val="center"/>
          </w:tcPr>
          <w:p w:rsidR="004F7AFD" w:rsidRPr="000D35D4" w:rsidRDefault="004F7AFD" w:rsidP="004F7AFD">
            <w:pPr>
              <w:jc w:val="center"/>
              <w:rPr>
                <w:lang w:val="en-US"/>
              </w:rPr>
            </w:pPr>
            <w:r w:rsidRPr="000D35D4">
              <w:rPr>
                <w:lang w:val="en-US"/>
              </w:rPr>
              <w:t>92</w:t>
            </w:r>
          </w:p>
        </w:tc>
        <w:tc>
          <w:tcPr>
            <w:tcW w:w="1134" w:type="dxa"/>
            <w:vAlign w:val="center"/>
          </w:tcPr>
          <w:p w:rsidR="004F7AFD" w:rsidRPr="000D35D4" w:rsidRDefault="004F7AFD" w:rsidP="004F7AFD">
            <w:pPr>
              <w:jc w:val="center"/>
              <w:rPr>
                <w:lang w:val="en-US"/>
              </w:rPr>
            </w:pPr>
            <w:r w:rsidRPr="000D35D4">
              <w:rPr>
                <w:lang w:val="en-US"/>
              </w:rPr>
              <w:t>65</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Dugalic</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"10.3748/wjg.v20.i26.8691", "PMID" : "25024627", "abstract" : "AIM To determine predictors of clinically relevant pancreatic fistulas (CRPF) by measuring drain fluid amylase (DFA) in the early postoperative period. METHODS This prospective clinical study included 382 patients with periampullary tumors that were surgically resected at our department between March 2005 and October 2012. A cephalic duodenopancreatectomy (DP) was performed on all patients. Two closed suction drains were placed at the end of the surgery. The highest postoperative DFA value was recorded and analyzed during the first three postoperative days and on subsequent days if the drains were kept longer. Pancreatic fistula (PF) was classified according to the International Study Group of Pancreatic Fistula (ISGPF) criteria. Postoperative complications were defined according to the Dindo-Clavien classification. All data were statistically analyzed. The optimal thresholds of DFA levels on the first, second and third postoperative days were estimated by constructing receiver operating curves, generated by calculating the sensitivities and specificities of the DFA levels. The DFA level limits were used to differentiate between the group without PF and the groups with biochemical pancreatic fistula (BPF) and CRPF. RESULTS Pylorus-preserving duodenopancreatectomy was performed on 289 (75.6%) patients, while the remaining patients underwent a classic Whipple procedure (CW). The total incidence of PF was 37.7% (grade A 22.8%, grade B 11.0% and grade C 3.9%). Soft pancreatic texture (SPT) was present in 58.3% of patients who developed PF. Mortality was 4.2%. The median DFA value on the first postoperative day (DFA1) in patients who developed PF was 4520 U/L (range 350-99000 U/L) for grade A fistula (BPF) with a SPT and a diameter of the main pancreatic duct (MPD) of \u2264 3 mm. For grade B/C (CRPF), the median DFA1 value was 8501 U/L (range 377-92060 U/L) with a SPT and MPD of \u2264 3 mm. These values were significantly higher when compared to the patients who did not have PF (122; range 5-37875 U/L). The upper limit of DFA values for the first 3 postoperative days in the examined stages of PF were: DFA1 1200 U/L for the BPF and CRPF; DFA3 350 U/L for BPF and DFA3 800 U/L for CRPF. The determined values were highly significant and demonstrated a reliable diagnostic test for both BPF and CRPF. CONCLUSION DFA1 \u2265 1200 U/L is an important predictive factor for PF of any degree. The trend of DFA3 (decrease of &lt; 50%) compared to DFA1 is a significant factor in the diffe\u2026", "author" : [ { "dropping-particle" : "", "family" : "Dugalic", "given" : "Vladimir D", "non-dropping-particle" : "", "parse-names" : false, "suffix" : "" }, { "dropping-particle" : "", "family" : "Knezevic", "given" : "Djordje M", "non-dropping-particle" : "", "parse-names" : false, "suffix" : "" }, { "dropping-particle" : "", "family" : "Obradovic", "given" : "Vladan N", "non-dropping-particle" : "", "parse-names" : false, "suffix" : "" }, { "dropping-particle" : "", "family" : "Gojnic-Dugalic", "given" : "Miroslava G", "non-dropping-particle" : "", "parse-names" : false, "suffix" : "" }, { "dropping-particle" : "V", "family" : "Matic", "given" : "Slavko", "non-dropping-particle" : "", "parse-names" : false, "suffix" : "" }, { "dropping-particle" : "", "family" : "Pavlovic-Markovic", "given" : "Aleksandra R", "non-dropping-particle" : "", "parse-names" : false, "suffix" : "" }, { "dropping-particle" : "", "family" : "Dugalic", "given" : "Predrag D", "non-dropping-particle" : "", "parse-names" : false, "suffix" : "" }, { "dropping-particle" : "", "family" : "Knezevic", "given" : "Srbislav M", "non-dropping-particle" : "", "parse-names" : false, "suffix" : "" } ], "container-title" : "World journal of gastroenterology", "id" : "ITEM-1", "issue" : "26", "issued" : { "date-parts" : [ [ "2014", "7", "14" ] ] }, "page" : "8691-9", "title" : "Drain amylase value as an early predictor of pancreatic fistula after cephalic duodenopancreatectomy.", "type" : "article-journal", "volume" : "20" }, "uris" : [ "http://www.mendeley.com/documents/?uuid=f60a092f-08ff-3e56-8f30-6edec4707826" ] } ], "mendeley" : { "formattedCitation" : "[28]", "plainTextFormattedCitation" : "[28]", "previouslyFormattedCitation" : "&lt;sup&gt;28&lt;/sup&gt;" }, "properties" : {  }, "schema" : "https://github.com/citation-style-language/schema/raw/master/csl-citation.json" }</w:instrText>
            </w:r>
            <w:r w:rsidRPr="000D35D4">
              <w:rPr>
                <w:lang w:val="en-US"/>
              </w:rPr>
              <w:fldChar w:fldCharType="separate"/>
            </w:r>
            <w:r w:rsidR="00625C5F" w:rsidRPr="00625C5F">
              <w:rPr>
                <w:noProof/>
                <w:lang w:val="en-US"/>
              </w:rPr>
              <w:t>[28]</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382</w:t>
            </w:r>
          </w:p>
        </w:tc>
        <w:tc>
          <w:tcPr>
            <w:tcW w:w="1134" w:type="dxa"/>
            <w:vAlign w:val="center"/>
          </w:tcPr>
          <w:p w:rsidR="004F7AFD" w:rsidRPr="000D35D4" w:rsidRDefault="004F7AFD" w:rsidP="004F7AFD">
            <w:pPr>
              <w:jc w:val="center"/>
              <w:rPr>
                <w:lang w:val="en-US"/>
              </w:rPr>
            </w:pPr>
            <w:r w:rsidRPr="000D35D4">
              <w:rPr>
                <w:lang w:val="en-US"/>
              </w:rPr>
              <w:t>57</w:t>
            </w:r>
          </w:p>
        </w:tc>
        <w:tc>
          <w:tcPr>
            <w:tcW w:w="993" w:type="dxa"/>
            <w:vAlign w:val="center"/>
          </w:tcPr>
          <w:p w:rsidR="004F7AFD" w:rsidRPr="000D35D4" w:rsidRDefault="004F7AFD" w:rsidP="004F7AFD">
            <w:pPr>
              <w:jc w:val="center"/>
              <w:rPr>
                <w:lang w:val="en-US"/>
              </w:rPr>
            </w:pPr>
            <w:r w:rsidRPr="000D35D4">
              <w:rPr>
                <w:lang w:val="en-US"/>
              </w:rPr>
              <w:t>800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90</w:t>
            </w:r>
          </w:p>
        </w:tc>
        <w:tc>
          <w:tcPr>
            <w:tcW w:w="709" w:type="dxa"/>
            <w:vAlign w:val="center"/>
          </w:tcPr>
          <w:p w:rsidR="004F7AFD" w:rsidRPr="000D35D4" w:rsidRDefault="004F7AFD" w:rsidP="004F7AFD">
            <w:pPr>
              <w:jc w:val="center"/>
              <w:rPr>
                <w:lang w:val="en-US"/>
              </w:rPr>
            </w:pPr>
            <w:r w:rsidRPr="000D35D4">
              <w:rPr>
                <w:lang w:val="en-US"/>
              </w:rPr>
              <w:t>99</w:t>
            </w:r>
          </w:p>
        </w:tc>
        <w:tc>
          <w:tcPr>
            <w:tcW w:w="709"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708"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1134" w:type="dxa"/>
            <w:vAlign w:val="center"/>
          </w:tcPr>
          <w:p w:rsidR="004F7AFD" w:rsidRPr="000D35D4" w:rsidRDefault="004F7AFD" w:rsidP="004F7AFD">
            <w:pPr>
              <w:jc w:val="center"/>
              <w:rPr>
                <w:lang w:val="en-US"/>
              </w:rPr>
            </w:pPr>
            <w:proofErr w:type="spellStart"/>
            <w:r w:rsidRPr="000D35D4">
              <w:rPr>
                <w:lang w:val="en-US"/>
              </w:rPr>
              <w:t>Nr</w:t>
            </w:r>
            <w:proofErr w:type="spellEnd"/>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Noji</w:t>
            </w:r>
            <w:proofErr w:type="spellEnd"/>
            <w:r w:rsidRPr="000D35D4">
              <w:rPr>
                <w:lang w:val="en-US"/>
              </w:rPr>
              <w:t xml:space="preserve"> 2011</w:t>
            </w:r>
            <w:r w:rsidRPr="000D35D4">
              <w:rPr>
                <w:lang w:val="en-US"/>
              </w:rPr>
              <w:fldChar w:fldCharType="begin" w:fldLock="1"/>
            </w:r>
            <w:r w:rsidR="00625C5F">
              <w:rPr>
                <w:lang w:val="en-US"/>
              </w:rPr>
              <w:instrText>ADDIN CSL_CITATION { "citationItems" : [ { "id" : "ITEM-1", "itemData" : { "DOI" : "10.1097/MPA.0b013e31823e7705", "PMID" : "22481291", "abstract" : "OBJECTIVES Pancreatic fistula or pancreas-related infectious complications are one of the most common surgical complications after pancreatic surgery. The aims of this study were, first, to reveal the risk factors for clinically relevant pancreas-related infectious complications and, second, to identify those risk factors that are obtainable within the first 3 postoperative days. METHODS One hundred seven consecutive patients who underwent pancreaticoenteral anastomosis between October 2007 and November 2010 were enrolled. RESULTS There were 36 patients with clinical pancreas-related infectious complications among 107 in this series of patients. Univariate and multivariate analyses revealed that a narrow main pancreatic duct diameter (&lt;3 mm) was an independent risk factor for clinically relevant pancreas-related infectious complication. Univariate and multivariate analyses also revealed that a body temperature of 38\u00b0C or higher on postoperative day 3 (POD3), a leukocyte count of 9.8 \u00d7 10(9)/L or greater on POD3, and a drain fluid amylase level of 3000 IU/L or higher on POD3 were significant predictive factors for clinically relevant pancreas-related infectious complication for 58 patients with a narrow main pancreatic duct. CONCLUSIONS In view of the clinical variables obtained on POD3, such as amylase levels in drain effluent, body temperature, and leukocyte count, clinically relevant pancreas-related infections could be predicted well.", "author" : [ { "dropping-particle" : "", "family" : "Noji", "given" : "Takehiro", "non-dropping-particle" : "", "parse-names" : false, "suffix" : "" }, { "dropping-particle" : "", "family" : "Nakamura", "given" : "Toru", "non-dropping-particle" : "", "parse-names" : false, "suffix" : "" }, { "dropping-particle" : "", "family" : "Ambo", "given" : "Yoshiyasu", "non-dropping-particle" : "", "parse-names" : false, "suffix" : "" }, { "dropping-particle" : "", "family" : "Suzuki", "given" : "On", "non-dropping-particle" : "", "parse-names" : false, "suffix" : "" }, { "dropping-particle" : "", "family" : "Nakamura", "given" : "Fumitaka", "non-dropping-particle" : "", "parse-names" : false, "suffix" : "" }, { "dropping-particle" : "", "family" : "Kishida", "given" : "Akihiro", "non-dropping-particle" : "", "parse-names" : false, "suffix" : "" }, { "dropping-particle" : "", "family" : "Hirano", "given" : "Satoshi", "non-dropping-particle" : "", "parse-names" : false, "suffix" : "" }, { "dropping-particle" : "", "family" : "Kondo", "given" : "Satoshi", "non-dropping-particle" : "", "parse-names" : false, "suffix" : "" }, { "dropping-particle" : "", "family" : "Kashimura", "given" : "Nobuichi", "non-dropping-particle" : "", "parse-names" : false, "suffix" : "" } ], "container-title" : "Pancreas", "id" : "ITEM-1", "issue" : "6", "issued" : { "date-parts" : [ [ "2012", "8" ] ] }, "page" : "916-21", "title" : "Clinically relevant pancreas-related infectious complication after pancreaticoenteral anastomosis could be predicted by the parameters obtained on postoperative day 3.", "type" : "article-journal", "volume" : "41" }, "uris" : [ "http://www.mendeley.com/documents/?uuid=4cf3750c-e865-465c-a5b9-8405e20ac545" ] } ], "mendeley" : { "formattedCitation" : "[4]", "plainTextFormattedCitation" : "[4]", "previouslyFormattedCitation" : "&lt;sup&gt;4&lt;/sup&gt;" }, "properties" : {  }, "schema" : "https://github.com/citation-style-language/schema/raw/master/csl-citation.json" }</w:instrText>
            </w:r>
            <w:r w:rsidRPr="000D35D4">
              <w:rPr>
                <w:lang w:val="en-US"/>
              </w:rPr>
              <w:fldChar w:fldCharType="separate"/>
            </w:r>
            <w:r w:rsidR="00625C5F" w:rsidRPr="00625C5F">
              <w:rPr>
                <w:noProof/>
                <w:lang w:val="en-US"/>
              </w:rPr>
              <w:t>[4]</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58</w:t>
            </w:r>
          </w:p>
        </w:tc>
        <w:tc>
          <w:tcPr>
            <w:tcW w:w="1134" w:type="dxa"/>
            <w:vAlign w:val="center"/>
          </w:tcPr>
          <w:p w:rsidR="004F7AFD" w:rsidRPr="000D35D4" w:rsidRDefault="004F7AFD" w:rsidP="004F7AFD">
            <w:pPr>
              <w:jc w:val="center"/>
              <w:rPr>
                <w:lang w:val="en-US"/>
              </w:rPr>
            </w:pPr>
            <w:r w:rsidRPr="000D35D4">
              <w:rPr>
                <w:lang w:val="en-US"/>
              </w:rPr>
              <w:t>32</w:t>
            </w:r>
          </w:p>
        </w:tc>
        <w:tc>
          <w:tcPr>
            <w:tcW w:w="993" w:type="dxa"/>
            <w:vAlign w:val="center"/>
          </w:tcPr>
          <w:p w:rsidR="004F7AFD" w:rsidRPr="000D35D4" w:rsidRDefault="004F7AFD" w:rsidP="004F7AFD">
            <w:pPr>
              <w:jc w:val="center"/>
              <w:rPr>
                <w:lang w:val="en-US"/>
              </w:rPr>
            </w:pPr>
            <w:r w:rsidRPr="000D35D4">
              <w:rPr>
                <w:lang w:val="en-US"/>
              </w:rPr>
              <w:t>3000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31</w:t>
            </w:r>
          </w:p>
        </w:tc>
        <w:tc>
          <w:tcPr>
            <w:tcW w:w="709" w:type="dxa"/>
            <w:vAlign w:val="center"/>
          </w:tcPr>
          <w:p w:rsidR="004F7AFD" w:rsidRPr="000D35D4" w:rsidRDefault="004F7AFD" w:rsidP="004F7AFD">
            <w:pPr>
              <w:jc w:val="center"/>
              <w:rPr>
                <w:lang w:val="en-US"/>
              </w:rPr>
            </w:pPr>
            <w:r w:rsidRPr="000D35D4">
              <w:rPr>
                <w:lang w:val="en-US"/>
              </w:rPr>
              <w:t>92</w:t>
            </w:r>
          </w:p>
        </w:tc>
        <w:tc>
          <w:tcPr>
            <w:tcW w:w="709" w:type="dxa"/>
            <w:vAlign w:val="center"/>
          </w:tcPr>
          <w:p w:rsidR="004F7AFD" w:rsidRPr="000D35D4" w:rsidRDefault="004F7AFD" w:rsidP="004F7AFD">
            <w:pPr>
              <w:jc w:val="center"/>
              <w:rPr>
                <w:lang w:val="en-US"/>
              </w:rPr>
            </w:pPr>
            <w:r w:rsidRPr="000D35D4">
              <w:rPr>
                <w:lang w:val="en-US"/>
              </w:rPr>
              <w:t>83</w:t>
            </w:r>
          </w:p>
        </w:tc>
        <w:tc>
          <w:tcPr>
            <w:tcW w:w="708" w:type="dxa"/>
            <w:vAlign w:val="center"/>
          </w:tcPr>
          <w:p w:rsidR="004F7AFD" w:rsidRPr="000D35D4" w:rsidRDefault="004F7AFD" w:rsidP="004F7AFD">
            <w:pPr>
              <w:jc w:val="center"/>
              <w:rPr>
                <w:lang w:val="en-US"/>
              </w:rPr>
            </w:pPr>
            <w:r w:rsidRPr="000D35D4">
              <w:rPr>
                <w:lang w:val="en-US"/>
              </w:rPr>
              <w:t>51</w:t>
            </w:r>
          </w:p>
        </w:tc>
        <w:tc>
          <w:tcPr>
            <w:tcW w:w="1134" w:type="dxa"/>
            <w:vAlign w:val="center"/>
          </w:tcPr>
          <w:p w:rsidR="004F7AFD" w:rsidRPr="000D35D4" w:rsidRDefault="004F7AFD" w:rsidP="004F7AFD">
            <w:pPr>
              <w:jc w:val="center"/>
              <w:rPr>
                <w:lang w:val="en-US"/>
              </w:rPr>
            </w:pPr>
            <w:r w:rsidRPr="000D35D4">
              <w:rPr>
                <w:lang w:val="en-US"/>
              </w:rPr>
              <w:t>58</w:t>
            </w:r>
          </w:p>
        </w:tc>
      </w:tr>
      <w:tr w:rsidR="004F7AFD" w:rsidRPr="000D35D4" w:rsidTr="004F7AFD">
        <w:trPr>
          <w:trHeight w:val="397"/>
        </w:trPr>
        <w:tc>
          <w:tcPr>
            <w:tcW w:w="1809" w:type="dxa"/>
            <w:vMerge w:val="restart"/>
            <w:vAlign w:val="center"/>
          </w:tcPr>
          <w:p w:rsidR="004F7AFD" w:rsidRPr="000D35D4" w:rsidRDefault="004F7AFD" w:rsidP="004F7AFD">
            <w:pPr>
              <w:rPr>
                <w:lang w:val="en-US"/>
              </w:rPr>
            </w:pPr>
            <w:proofErr w:type="spellStart"/>
            <w:r w:rsidRPr="000D35D4">
              <w:rPr>
                <w:lang w:val="en-US"/>
              </w:rPr>
              <w:t>Uemura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t>200</w:t>
            </w:r>
          </w:p>
        </w:tc>
        <w:tc>
          <w:tcPr>
            <w:tcW w:w="1134" w:type="dxa"/>
            <w:vMerge w:val="restart"/>
            <w:vAlign w:val="center"/>
          </w:tcPr>
          <w:p w:rsidR="004F7AFD" w:rsidRPr="000D35D4" w:rsidRDefault="004F7AFD" w:rsidP="004F7AFD">
            <w:pPr>
              <w:jc w:val="center"/>
              <w:rPr>
                <w:lang w:val="en-US"/>
              </w:rPr>
            </w:pPr>
            <w:r w:rsidRPr="000D35D4">
              <w:rPr>
                <w:lang w:val="en-US"/>
              </w:rPr>
              <w:t>15</w:t>
            </w:r>
          </w:p>
        </w:tc>
        <w:tc>
          <w:tcPr>
            <w:tcW w:w="993" w:type="dxa"/>
            <w:vAlign w:val="center"/>
          </w:tcPr>
          <w:p w:rsidR="004F7AFD" w:rsidRPr="000D35D4" w:rsidRDefault="004F7AFD" w:rsidP="004F7AFD">
            <w:pPr>
              <w:jc w:val="center"/>
              <w:rPr>
                <w:lang w:val="en-US"/>
              </w:rPr>
            </w:pPr>
            <w:r w:rsidRPr="000D35D4">
              <w:rPr>
                <w:lang w:val="en-US"/>
              </w:rPr>
              <w:t>116</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100</w:t>
            </w:r>
          </w:p>
        </w:tc>
        <w:tc>
          <w:tcPr>
            <w:tcW w:w="709" w:type="dxa"/>
            <w:vAlign w:val="center"/>
          </w:tcPr>
          <w:p w:rsidR="004F7AFD" w:rsidRPr="000D35D4" w:rsidRDefault="004F7AFD" w:rsidP="004F7AFD">
            <w:pPr>
              <w:jc w:val="center"/>
              <w:rPr>
                <w:lang w:val="en-US"/>
              </w:rPr>
            </w:pPr>
            <w:r w:rsidRPr="000D35D4">
              <w:rPr>
                <w:lang w:val="en-US"/>
              </w:rPr>
              <w:t>64</w:t>
            </w:r>
          </w:p>
        </w:tc>
        <w:tc>
          <w:tcPr>
            <w:tcW w:w="709" w:type="dxa"/>
            <w:vAlign w:val="center"/>
          </w:tcPr>
          <w:p w:rsidR="004F7AFD" w:rsidRPr="000D35D4" w:rsidRDefault="004F7AFD" w:rsidP="004F7AFD">
            <w:pPr>
              <w:jc w:val="center"/>
              <w:rPr>
                <w:lang w:val="en-US"/>
              </w:rPr>
            </w:pPr>
            <w:r w:rsidRPr="000D35D4">
              <w:rPr>
                <w:lang w:val="en-US"/>
              </w:rPr>
              <w:t>19</w:t>
            </w:r>
          </w:p>
        </w:tc>
        <w:tc>
          <w:tcPr>
            <w:tcW w:w="708"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r w:rsidRPr="000D35D4">
              <w:rPr>
                <w:lang w:val="en-US"/>
              </w:rPr>
              <w:t>67</w:t>
            </w:r>
          </w:p>
        </w:tc>
      </w:tr>
      <w:tr w:rsidR="004F7AFD" w:rsidRPr="000D35D4"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0D35D4">
              <w:rPr>
                <w:lang w:val="en-US"/>
              </w:rPr>
              <w:t>95</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87</w:t>
            </w:r>
          </w:p>
        </w:tc>
        <w:tc>
          <w:tcPr>
            <w:tcW w:w="709" w:type="dxa"/>
            <w:vAlign w:val="center"/>
          </w:tcPr>
          <w:p w:rsidR="004F7AFD" w:rsidRPr="000D35D4" w:rsidRDefault="004F7AFD" w:rsidP="004F7AFD">
            <w:pPr>
              <w:jc w:val="center"/>
              <w:rPr>
                <w:lang w:val="en-US"/>
              </w:rPr>
            </w:pPr>
            <w:r w:rsidRPr="000D35D4">
              <w:rPr>
                <w:lang w:val="en-US"/>
              </w:rPr>
              <w:t>82</w:t>
            </w:r>
          </w:p>
        </w:tc>
        <w:tc>
          <w:tcPr>
            <w:tcW w:w="709" w:type="dxa"/>
            <w:vAlign w:val="center"/>
          </w:tcPr>
          <w:p w:rsidR="004F7AFD" w:rsidRPr="000D35D4" w:rsidRDefault="004F7AFD" w:rsidP="004F7AFD">
            <w:pPr>
              <w:jc w:val="center"/>
              <w:rPr>
                <w:lang w:val="en-US"/>
              </w:rPr>
            </w:pPr>
            <w:r w:rsidRPr="000D35D4">
              <w:rPr>
                <w:lang w:val="en-US"/>
              </w:rPr>
              <w:t>28</w:t>
            </w:r>
          </w:p>
        </w:tc>
        <w:tc>
          <w:tcPr>
            <w:tcW w:w="708" w:type="dxa"/>
            <w:vAlign w:val="center"/>
          </w:tcPr>
          <w:p w:rsidR="004F7AFD" w:rsidRPr="000D35D4" w:rsidRDefault="004F7AFD" w:rsidP="004F7AFD">
            <w:pPr>
              <w:jc w:val="center"/>
              <w:rPr>
                <w:lang w:val="en-US"/>
              </w:rPr>
            </w:pPr>
            <w:r w:rsidRPr="000D35D4">
              <w:rPr>
                <w:lang w:val="en-US"/>
              </w:rPr>
              <w:t>99</w:t>
            </w:r>
          </w:p>
        </w:tc>
        <w:tc>
          <w:tcPr>
            <w:tcW w:w="1134" w:type="dxa"/>
            <w:vAlign w:val="center"/>
          </w:tcPr>
          <w:p w:rsidR="004F7AFD" w:rsidRPr="000D35D4" w:rsidRDefault="004F7AFD" w:rsidP="004F7AFD">
            <w:pPr>
              <w:jc w:val="center"/>
              <w:rPr>
                <w:lang w:val="en-US"/>
              </w:rPr>
            </w:pPr>
            <w:r w:rsidRPr="000D35D4">
              <w:rPr>
                <w:lang w:val="en-US"/>
              </w:rPr>
              <w:t>83</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Kosaka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"10.1002/jhbp.11", "ISSN" : "1868-6982", "PMID" : "23804410", "abstract" : "BACKGROUND: Postoperative pancreatic fistula (PF) remains a major complication after pancreaticoduodenectomy (PD). We aimed to investigate the predictors of clinically relevant PF after PD.\\n\\nMETHODS: We retrospectively analyzed the predictive factors of relevant grade B/C PF using logistic regression analysis of 100 consecutive patients who underwent PD. PF was defined in accordance with the International Study Group on PF (ISGPF).\\n\\nRESULTS: White blood cell count (WBC) of 73.6 \u00d7 10(2) /\u03bcl, C-reactive protein (CRP) of 9.3\u2009mg/dl and amylase value in drains (d-amylase) of 647 U/I on postoperative day (POD) 4 were proposed as the cut-off values for predicting grade B/C PF with high accuracy by the receiver operating characteristic (ROC) curve. Multivariate logistic regression analysis revealed that the three factors as significant predictive factors and the predicted probability of detecting grade B/C PF was calculated by the following formula; P = 1/[1 + exp{-(2.033 \u00d7 WBC+3.269 \u00d7 CRP+2.698 \u00d7 d-amylase-4.122)}]. P &gt; 0.5 indicates the prospective incidence of the PF. When the cut-off values of the three significant predictors were substituted into the formula, P always showed above 0.5 if more than two predictors were above their cut-off values, indicating a high probability of grade B/C PF.\\n\\nCONCLUSIONS: White blood cell count, CRP and d-amylase on POD4 were predictive factors for clinically relevant PF after PD. These findings indicate that our formula is useful for management of drain after PD.", "author" : [ { "dropping-particle" : "", "family" : "Kosaka", "given" : "Hisashi", "non-dropping-particle" : "", "parse-names" : false, "suffix" : "" }, { "dropping-particle" : "", "family" : "Kuroda", "given" : "Nobukazu", "non-dropping-particle" : "", "parse-names" : false, "suffix" : "" }, { "dropping-particle" : "", "family" : "Suzumura", "given" : "Kazuhiro", "non-dropping-particle" : "", "parse-names" : false, "suffix" : "" }, { "dropping-particle" : "", "family" : "Asano", "given" : "Yasukane", "non-dropping-particle" : "", "parse-names" : false, "suffix" : "" }, { "dropping-particle" : "", "family" : "Okada", "given" : "Toshihiro", "non-dropping-particle" : "", "parse-names" : false, "suffix" : "" }, { "dropping-particle" : "", "family" : "Fujimoto", "given" : "Jiro", "non-dropping-particle" : "", "parse-names" : false, "suffix" : "" } ], "container-title" : "Journal of hepato-biliary-pancreatic sciences", "id" : "ITEM-1", "issue" : "2", "issued" : { "date-parts" : [ [ "2014", "2" ] ] }, "page" : "128-33", "title" : "Multivariate logistic regression analysis for prediction of clinically relevant pancreatic fistula in the early phase after pancreaticoduodenectomy.", "type" : "article-journal", "volume" : "21" }, "uris" : [ "http://www.mendeley.com/documents/?uuid=4ae94d0a-fb31-4e18-84ca-6378ce2c74c2" ] } ], "mendeley" : { "formattedCitation" : "[8]", "plainTextFormattedCitation" : "[8]", "previouslyFormattedCitation" : "&lt;sup&gt;8&lt;/sup&gt;" }, "properties" : {  }, "schema" : "https://github.com/citation-style-language/schema/raw/master/csl-citation.json" }</w:instrText>
            </w:r>
            <w:r w:rsidRPr="000D35D4">
              <w:rPr>
                <w:lang w:val="en-US"/>
              </w:rPr>
              <w:fldChar w:fldCharType="separate"/>
            </w:r>
            <w:r w:rsidR="00625C5F" w:rsidRPr="00625C5F">
              <w:rPr>
                <w:noProof/>
                <w:lang w:val="en-US"/>
              </w:rPr>
              <w:t>[8]</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r w:rsidRPr="000D35D4">
              <w:rPr>
                <w:lang w:val="en-US"/>
              </w:rPr>
              <w:t>32</w:t>
            </w:r>
          </w:p>
        </w:tc>
        <w:tc>
          <w:tcPr>
            <w:tcW w:w="993" w:type="dxa"/>
            <w:vAlign w:val="center"/>
          </w:tcPr>
          <w:p w:rsidR="004F7AFD" w:rsidRPr="000D35D4" w:rsidRDefault="004F7AFD" w:rsidP="004F7AFD">
            <w:pPr>
              <w:jc w:val="center"/>
              <w:rPr>
                <w:lang w:val="en-US"/>
              </w:rPr>
            </w:pPr>
            <w:r w:rsidRPr="000D35D4">
              <w:rPr>
                <w:lang w:val="en-US"/>
              </w:rPr>
              <w:t>647</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72</w:t>
            </w:r>
          </w:p>
        </w:tc>
        <w:tc>
          <w:tcPr>
            <w:tcW w:w="709" w:type="dxa"/>
            <w:vAlign w:val="center"/>
          </w:tcPr>
          <w:p w:rsidR="004F7AFD" w:rsidRPr="000D35D4" w:rsidRDefault="004F7AFD" w:rsidP="004F7AFD">
            <w:pPr>
              <w:jc w:val="center"/>
              <w:rPr>
                <w:lang w:val="en-US"/>
              </w:rPr>
            </w:pPr>
            <w:r w:rsidRPr="000D35D4">
              <w:rPr>
                <w:lang w:val="en-US"/>
              </w:rPr>
              <w:t>91</w:t>
            </w:r>
          </w:p>
        </w:tc>
        <w:tc>
          <w:tcPr>
            <w:tcW w:w="709" w:type="dxa"/>
            <w:vAlign w:val="center"/>
          </w:tcPr>
          <w:p w:rsidR="004F7AFD" w:rsidRPr="000D35D4" w:rsidRDefault="004F7AFD" w:rsidP="004F7AFD">
            <w:pPr>
              <w:jc w:val="center"/>
              <w:rPr>
                <w:lang w:val="en-US"/>
              </w:rPr>
            </w:pPr>
            <w:r w:rsidRPr="000D35D4">
              <w:rPr>
                <w:lang w:val="en-US"/>
              </w:rPr>
              <w:t>79</w:t>
            </w:r>
          </w:p>
        </w:tc>
        <w:tc>
          <w:tcPr>
            <w:tcW w:w="708" w:type="dxa"/>
            <w:vAlign w:val="center"/>
          </w:tcPr>
          <w:p w:rsidR="004F7AFD" w:rsidRPr="000D35D4" w:rsidRDefault="004F7AFD" w:rsidP="004F7AFD">
            <w:pPr>
              <w:jc w:val="center"/>
              <w:rPr>
                <w:lang w:val="en-US"/>
              </w:rPr>
            </w:pPr>
            <w:r w:rsidRPr="000D35D4">
              <w:rPr>
                <w:lang w:val="en-US"/>
              </w:rPr>
              <w:t>87</w:t>
            </w:r>
          </w:p>
        </w:tc>
        <w:tc>
          <w:tcPr>
            <w:tcW w:w="1134" w:type="dxa"/>
            <w:vAlign w:val="center"/>
          </w:tcPr>
          <w:p w:rsidR="004F7AFD" w:rsidRPr="000D35D4" w:rsidRDefault="004F7AFD" w:rsidP="004F7AFD">
            <w:pPr>
              <w:jc w:val="center"/>
              <w:rPr>
                <w:lang w:val="en-US"/>
              </w:rPr>
            </w:pPr>
            <w:r w:rsidRPr="000D35D4">
              <w:rPr>
                <w:lang w:val="en-US"/>
              </w:rPr>
              <w:t>85</w:t>
            </w:r>
          </w:p>
        </w:tc>
      </w:tr>
      <w:tr w:rsidR="004F7AFD" w:rsidRPr="000D35D4" w:rsidTr="004F7AFD">
        <w:trPr>
          <w:trHeight w:val="397"/>
        </w:trPr>
        <w:tc>
          <w:tcPr>
            <w:tcW w:w="1809" w:type="dxa"/>
            <w:vMerge w:val="restart"/>
            <w:vAlign w:val="center"/>
          </w:tcPr>
          <w:p w:rsidR="004F7AFD" w:rsidRPr="000D35D4" w:rsidRDefault="004F7AFD" w:rsidP="004F7AFD">
            <w:pPr>
              <w:rPr>
                <w:lang w:val="en-US"/>
              </w:rPr>
            </w:pPr>
            <w:r w:rsidRPr="000D35D4">
              <w:rPr>
                <w:lang w:val="en-US"/>
              </w:rPr>
              <w:t xml:space="preserve">Kobayashi </w:t>
            </w:r>
            <w:r w:rsidRPr="000D35D4">
              <w:rPr>
                <w:lang w:val="en-US"/>
              </w:rPr>
              <w:lastRenderedPageBreak/>
              <w:t>2013</w:t>
            </w:r>
            <w:r w:rsidRPr="000D35D4">
              <w:rPr>
                <w:lang w:val="en-US"/>
              </w:rPr>
              <w:fldChar w:fldCharType="begin" w:fldLock="1"/>
            </w:r>
            <w:r w:rsidR="00625C5F">
              <w:rPr>
                <w:lang w:val="en-US"/>
              </w:rPr>
              <w:instrText>ADDIN CSL_CITATION { "citationItems" : [ { "id" : "ITEM-1", "itemData" : { "DOI" : "10.5754/hge11655", "PMID" : "23732781", "abstract" : "BACKGROUND/AIMS Effectiveness of infection control for prevention of pancreatic fistula (PF) after pancreaticoduodenectomy (PD) is not clear. We analyzed the impact of infection on the development of PF and examined the effect of enhanced infection control to prevent PF. METHODOLOGY Amylase level (D-amylase) and bacterial culture (D-culture) of drainage fluid were evaluated on POD 1, 3, 5 and 7, in 90 consecutive patients with soft pancreas who underwent PD. The study period was divided into two periods. The relationship between D-amylase and D-culture was examined, and the clinicopathological factors predicting PF were analyzed in the first period. Then, anti-infection measures were introduced in the second period, and the effect of enhanced infection control was examined. RESULTS Twenty-nine out of 58 patients (50.0%) developed PF in the first period. D-amylase were higher in patients with D-culture infection than in those without it (p&lt;0.05). D-amylase above 10,000IU/L on POD1 and D-culture infection on POD3 were independent predictive factors for PF by multivariate analysis (p&lt;0.01). After introduction of enhanced infection control in the second period, four out of 32 patients (12.5%) developed PF. The rates of PF and D-culture infection were significantly reduced (p&lt;0.05). CONCLUSIONS Infection of drainage fluid is related to an increased level of amylase, resulting in PF. Enhanced infection control can effectively prevent PF after PD in soft pancreas.", "author" : [ { "dropping-particle" : "", "family" : "Kobayashi", "given" : "Shin", "non-dropping-particle" : "", "parse-names" : false, "suffix" : "" }, { "dropping-particle" : "", "family" : "Gotohda", "given" : "Naoto", "non-dropping-particle" : "", "parse-names" : false, "suffix" : "" }, { "dropping-particle" : "", "family" : "Kato", "given" : "Yuichiro", "non-dropping-particle" : "", "parse-names" : false, "suffix" : "" }, { "dropping-particle" : "", "family" : "Takahashi", "given" : "Shinichiro", "non-dropping-particle" : "", "parse-names" : false, "suffix" : "" }, { "dropping-particle" : "", "family" : "Konishi", "given" : "Masaru", "non-dropping-particle" : "", "parse-names" : false, "suffix" : "" }, { "dropping-particle" : "", "family" : "Kinoshita", "given" : "Taira", "non-dropping-particle" : "", "parse-names" : false, "suffix" : "" } ], "container-title" : "Hepato-gastroenterology", "id" : "ITEM-1", "issue" : "124", "issued" : { "date-parts" : [ [ "2013", "6" ] ] }, "page" : "876-82", "title" : "Infection control for prevention of pancreatic fistula after pancreaticoduodenectomy.", "type" : "article-journal", "volume" : "60" }, "uris" : [ "http://www.mendeley.com/documents/?uuid=090f94d8-6d1e-3e18-96bf-faada78b9e37" ] } ], "mendeley" : { "formattedCitation" : "[29]", "plainTextFormattedCitation" : "[29]", "previouslyFormattedCitation" : "&lt;sup&gt;29&lt;/sup&gt;" }, "properties" : {  }, "schema" : "https://github.com/citation-style-language/schema/raw/master/csl-citation.json" }</w:instrText>
            </w:r>
            <w:r w:rsidRPr="000D35D4">
              <w:rPr>
                <w:lang w:val="en-US"/>
              </w:rPr>
              <w:fldChar w:fldCharType="separate"/>
            </w:r>
            <w:r w:rsidR="00625C5F" w:rsidRPr="00625C5F">
              <w:rPr>
                <w:noProof/>
                <w:lang w:val="en-US"/>
              </w:rPr>
              <w:t>[29]</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lastRenderedPageBreak/>
              <w:t>58</w:t>
            </w:r>
          </w:p>
        </w:tc>
        <w:tc>
          <w:tcPr>
            <w:tcW w:w="1134" w:type="dxa"/>
            <w:vMerge w:val="restart"/>
            <w:vAlign w:val="center"/>
          </w:tcPr>
          <w:p w:rsidR="004F7AFD" w:rsidRPr="000D35D4" w:rsidRDefault="004F7AFD" w:rsidP="004F7AFD">
            <w:pPr>
              <w:jc w:val="center"/>
              <w:rPr>
                <w:lang w:val="en-US"/>
              </w:rPr>
            </w:pPr>
            <w:r w:rsidRPr="000D35D4">
              <w:rPr>
                <w:lang w:val="en-US"/>
              </w:rPr>
              <w:t>29</w:t>
            </w:r>
          </w:p>
        </w:tc>
        <w:tc>
          <w:tcPr>
            <w:tcW w:w="993" w:type="dxa"/>
            <w:vAlign w:val="center"/>
          </w:tcPr>
          <w:p w:rsidR="004F7AFD" w:rsidRPr="000D35D4" w:rsidRDefault="004F7AFD" w:rsidP="004F7AFD">
            <w:pPr>
              <w:jc w:val="center"/>
              <w:rPr>
                <w:lang w:val="en-US"/>
              </w:rPr>
            </w:pPr>
            <w:r w:rsidRPr="000D35D4">
              <w:rPr>
                <w:lang w:val="en-US"/>
              </w:rPr>
              <w:t>1000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69</w:t>
            </w:r>
          </w:p>
        </w:tc>
        <w:tc>
          <w:tcPr>
            <w:tcW w:w="709" w:type="dxa"/>
            <w:vAlign w:val="center"/>
          </w:tcPr>
          <w:p w:rsidR="004F7AFD" w:rsidRPr="000D35D4" w:rsidRDefault="004F7AFD" w:rsidP="004F7AFD">
            <w:pPr>
              <w:jc w:val="center"/>
              <w:rPr>
                <w:lang w:val="en-US"/>
              </w:rPr>
            </w:pPr>
            <w:r w:rsidRPr="000D35D4">
              <w:rPr>
                <w:lang w:val="en-US"/>
              </w:rPr>
              <w:t>22</w:t>
            </w:r>
          </w:p>
        </w:tc>
        <w:tc>
          <w:tcPr>
            <w:tcW w:w="709" w:type="dxa"/>
            <w:vAlign w:val="center"/>
          </w:tcPr>
          <w:p w:rsidR="004F7AFD" w:rsidRPr="000D35D4" w:rsidRDefault="004F7AFD" w:rsidP="004F7AFD">
            <w:pPr>
              <w:jc w:val="center"/>
              <w:rPr>
                <w:lang w:val="en-US"/>
              </w:rPr>
            </w:pPr>
            <w:r w:rsidRPr="000D35D4">
              <w:rPr>
                <w:lang w:val="en-US"/>
              </w:rPr>
              <w:t>74</w:t>
            </w:r>
          </w:p>
        </w:tc>
        <w:tc>
          <w:tcPr>
            <w:tcW w:w="708" w:type="dxa"/>
            <w:vAlign w:val="center"/>
          </w:tcPr>
          <w:p w:rsidR="004F7AFD" w:rsidRPr="000D35D4" w:rsidRDefault="004F7AFD" w:rsidP="004F7AFD">
            <w:pPr>
              <w:jc w:val="center"/>
              <w:rPr>
                <w:lang w:val="en-US"/>
              </w:rPr>
            </w:pPr>
            <w:r w:rsidRPr="000D35D4">
              <w:rPr>
                <w:lang w:val="en-US"/>
              </w:rPr>
              <w:t>18</w:t>
            </w:r>
          </w:p>
        </w:tc>
        <w:tc>
          <w:tcPr>
            <w:tcW w:w="1134" w:type="dxa"/>
            <w:vAlign w:val="center"/>
          </w:tcPr>
          <w:p w:rsidR="004F7AFD" w:rsidRPr="000D35D4" w:rsidRDefault="004F7AFD" w:rsidP="004F7AFD">
            <w:pPr>
              <w:jc w:val="center"/>
              <w:rPr>
                <w:lang w:val="en-US"/>
              </w:rPr>
            </w:pPr>
            <w:r w:rsidRPr="000D35D4">
              <w:rPr>
                <w:lang w:val="en-US"/>
              </w:rPr>
              <w:t>58</w:t>
            </w:r>
          </w:p>
        </w:tc>
      </w:tr>
      <w:tr w:rsidR="004F7AFD" w:rsidRPr="000D35D4"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0D35D4">
              <w:rPr>
                <w:lang w:val="en-US"/>
              </w:rPr>
              <w:t>1000</w:t>
            </w:r>
          </w:p>
        </w:tc>
        <w:tc>
          <w:tcPr>
            <w:tcW w:w="708" w:type="dxa"/>
            <w:vAlign w:val="center"/>
          </w:tcPr>
          <w:p w:rsidR="004F7AFD" w:rsidRPr="000D35D4" w:rsidRDefault="004F7AFD" w:rsidP="004F7AFD">
            <w:pPr>
              <w:jc w:val="center"/>
              <w:rPr>
                <w:lang w:val="en-US"/>
              </w:rPr>
            </w:pPr>
            <w:r w:rsidRPr="000D35D4">
              <w:rPr>
                <w:lang w:val="en-US"/>
              </w:rPr>
              <w:t>5</w:t>
            </w:r>
          </w:p>
        </w:tc>
        <w:tc>
          <w:tcPr>
            <w:tcW w:w="709" w:type="dxa"/>
            <w:vAlign w:val="center"/>
          </w:tcPr>
          <w:p w:rsidR="004F7AFD" w:rsidRPr="000D35D4" w:rsidRDefault="004F7AFD" w:rsidP="004F7AFD">
            <w:pPr>
              <w:jc w:val="center"/>
              <w:rPr>
                <w:lang w:val="en-US"/>
              </w:rPr>
            </w:pPr>
            <w:r w:rsidRPr="000D35D4">
              <w:rPr>
                <w:lang w:val="en-US"/>
              </w:rPr>
              <w:t>48</w:t>
            </w:r>
          </w:p>
        </w:tc>
        <w:tc>
          <w:tcPr>
            <w:tcW w:w="709" w:type="dxa"/>
            <w:vAlign w:val="center"/>
          </w:tcPr>
          <w:p w:rsidR="004F7AFD" w:rsidRPr="000D35D4" w:rsidRDefault="004F7AFD" w:rsidP="004F7AFD">
            <w:pPr>
              <w:jc w:val="center"/>
              <w:rPr>
                <w:lang w:val="en-US"/>
              </w:rPr>
            </w:pPr>
            <w:r w:rsidRPr="000D35D4">
              <w:rPr>
                <w:lang w:val="en-US"/>
              </w:rPr>
              <w:t>86</w:t>
            </w:r>
          </w:p>
        </w:tc>
        <w:tc>
          <w:tcPr>
            <w:tcW w:w="709" w:type="dxa"/>
            <w:vAlign w:val="center"/>
          </w:tcPr>
          <w:p w:rsidR="004F7AFD" w:rsidRPr="000D35D4" w:rsidRDefault="004F7AFD" w:rsidP="004F7AFD">
            <w:pPr>
              <w:jc w:val="center"/>
              <w:rPr>
                <w:lang w:val="en-US"/>
              </w:rPr>
            </w:pPr>
            <w:r w:rsidRPr="000D35D4">
              <w:rPr>
                <w:lang w:val="en-US"/>
              </w:rPr>
              <w:t>78</w:t>
            </w:r>
          </w:p>
        </w:tc>
        <w:tc>
          <w:tcPr>
            <w:tcW w:w="708" w:type="dxa"/>
            <w:vAlign w:val="center"/>
          </w:tcPr>
          <w:p w:rsidR="004F7AFD" w:rsidRPr="000D35D4" w:rsidRDefault="004F7AFD" w:rsidP="004F7AFD">
            <w:pPr>
              <w:jc w:val="center"/>
              <w:rPr>
                <w:lang w:val="en-US"/>
              </w:rPr>
            </w:pPr>
            <w:r w:rsidRPr="000D35D4">
              <w:rPr>
                <w:lang w:val="en-US"/>
              </w:rPr>
              <w:t>63</w:t>
            </w:r>
          </w:p>
        </w:tc>
        <w:tc>
          <w:tcPr>
            <w:tcW w:w="1134" w:type="dxa"/>
            <w:vAlign w:val="center"/>
          </w:tcPr>
          <w:p w:rsidR="004F7AFD" w:rsidRPr="000D35D4" w:rsidRDefault="004F7AFD" w:rsidP="004F7AFD">
            <w:pPr>
              <w:jc w:val="center"/>
              <w:rPr>
                <w:lang w:val="en-US"/>
              </w:rPr>
            </w:pPr>
            <w:r w:rsidRPr="000D35D4">
              <w:rPr>
                <w:lang w:val="en-US"/>
              </w:rPr>
              <w:t>67</w:t>
            </w:r>
          </w:p>
        </w:tc>
      </w:tr>
      <w:tr w:rsidR="004F7AFD" w:rsidRPr="000D35D4" w:rsidTr="004F7AFD">
        <w:trPr>
          <w:trHeight w:val="397"/>
        </w:trPr>
        <w:tc>
          <w:tcPr>
            <w:tcW w:w="1809" w:type="dxa"/>
            <w:vAlign w:val="center"/>
          </w:tcPr>
          <w:p w:rsidR="004F7AFD" w:rsidRPr="000D35D4" w:rsidRDefault="004F7AFD" w:rsidP="004F7AFD">
            <w:pPr>
              <w:rPr>
                <w:lang w:val="en-US"/>
              </w:rPr>
            </w:pPr>
            <w:r w:rsidRPr="000D35D4">
              <w:rPr>
                <w:lang w:val="en-US"/>
              </w:rPr>
              <w:lastRenderedPageBreak/>
              <w:t xml:space="preserve">El </w:t>
            </w:r>
            <w:proofErr w:type="spellStart"/>
            <w:r w:rsidRPr="000D35D4">
              <w:rPr>
                <w:lang w:val="en-US"/>
              </w:rPr>
              <w:t>Nakeeb</w:t>
            </w:r>
            <w:proofErr w:type="spellEnd"/>
            <w:r w:rsidRPr="000D35D4">
              <w:rPr>
                <w:lang w:val="en-US"/>
              </w:rPr>
              <w:t xml:space="preserve"> 2013</w:t>
            </w:r>
            <w:r w:rsidRPr="000D35D4">
              <w:rPr>
                <w:lang w:val="en-US"/>
              </w:rPr>
              <w:fldChar w:fldCharType="begin" w:fldLock="1"/>
            </w:r>
            <w:r w:rsidR="00625C5F">
              <w:rPr>
                <w:lang w:val="en-US"/>
              </w:rPr>
              <w:instrText>ADDIN CSL_CITATION { "citationItems" : [ { "id" : "ITEM-1", "itemData" : { "DOI" : "10.1007/s00268-013-1998-5", "PMID" : "23494109", "abstract" : "BACKGROUND Postoperative pancreatic fistula (POPF) after pancreaticoduodenectomy (PD) remains a challenge even at high-volume centers. METHODS This study was designed to analyze perioperative risk factors for POPF after PD and evaluate the factors that predict the extent and severity of leak. Demographic data, preoperative, intraoperative, and postoperative variables were collected. RESULTS A total of 471 consecutive patients underwent PD in our center. Fifty-seven patients (12.1 %) developed a POPF of any type; 21 patients (4.5 %) had a fistula type A, 22 patients (4.7 %) had a fistula type B, and the remaining 14 patients (3 %) had a POPF type C. Cirrhotic liver (P = 0.05), BMI &gt; 25 kg/m(2) (P = 0.0001), soft pancreas (P = 0.04), pancreatic duct diameter &lt;3 mm (0.0001), pancreatic duct located &lt;3 mm from the posterior border (P = 0.02) were significantly associated with POPF. With the multivariate analysis, both BMI and pancreatic duct diameter were demonstrated to be independent factors. The hospital mortality in this series was 11 patients (2.3 %), and the development of POPF type C was associated with a significantly increased mortality (7/14 patients). The following factors were predictors of clinically evident POPF: a postoperative day (POD) 1 and 5 drain amylase level &gt;4,000 IU/L, WBC, pancreatic duct diameter &lt;3 mm, and pancreatic texture. CONCLUSIONS Cirrhotic liver, BMI, soft pancreas, pancreatic duct diameter &lt;3 mm, pancreatic duct near the posterior border are risk factors for development of POPF. In addition a drain amylase level &gt;4,000 IU/L on POD 1 and 5, WBC, pancreatic duct diameter, pancreatic texture may be predictors of POPF B, C.", "author" : [ { "dropping-particle" : "", "family" : "Nakeeb", "given" : "Ayman", "non-dropping-particle" : "El", "parse-names" : false, "suffix" : "" }, { "dropping-particle" : "", "family" : "Salah", "given" : "Tarek", "non-dropping-particle" : "", "parse-names" : false, "suffix" : "" }, { "dropping-particle" : "", "family" : "Sultan", "given" : "Ahmad", "non-dropping-particle" : "", "parse-names" : false, "suffix" : "" }, { "dropping-particle" : "", "family" : "Hemaly", "given" : "Mohamed", "non-dropping-particle" : "El", "parse-names" : false, "suffix" : "" }, { "dropping-particle" : "", "family" : "Askr", "given" : "Waleed", "non-dropping-particle" : "", "parse-names" : false, "suffix" : "" }, { "dropping-particle" : "", "family" : "Ezzat", "given" : "Helmy", "non-dropping-particle" : "", "parse-names" : false, "suffix" : "" }, { "dropping-particle" : "", "family" : "Hamdy", "given" : "Emad", "non-dropping-particle" : "", "parse-names" : false, "suffix" : "" }, { "dropping-particle" : "", "family" : "Atef", "given" : "Ehab", "non-dropping-particle" : "", "parse-names" : false, "suffix" : "" }, { "dropping-particle" : "", "family" : "Hanafy", "given" : "Ehab", "non-dropping-particle" : "El", "parse-names" : false, "suffix" : "" }, { "dropping-particle" : "", "family" : "El-Geidie", "given" : "Ahmed", "non-dropping-particle" : "", "parse-names" : false, "suffix" : "" }, { "dropping-particle" : "", "family" : "Abdel Wahab", "given" : "Mohamed", "non-dropping-particle" : "", "parse-names" : false, "suffix" : "" }, { "dropping-particle" : "", "family" : "Abdallah", "given" : "Talaat", "non-dropping-particle" : "", "parse-names" : false, "suffix" : "" }, { "dropping-particle" : "", "family" : "El", "given" : "Ayman", "non-dropping-particle" : "", "parse-names" : false, "suffix" : "" }, { "dropping-particle" : "", "family" : "Tarek", "given" : "Nakeeb", "non-dropping-particle" : "", "parse-names" : false, "suffix" : "" }, { "dropping-particle" : "", "family" : "Ahmad", "given" : "Salah", "non-dropping-particle" : "", "parse-names" : false, "suffix" : "" }, { "dropping-particle" : "", "family" : "Mohamed", "given" : "Sultan", "non-dropping-particle" : "", "parse-names" : false, "suffix" : "" }, { "dropping-particle" : "", "family" : "Hemaly", "given" : "El", "non-dropping-particle" : "", "parse-names" : false, "suffix" : "" } ], "container-title" : "World Journal of Gastroenterology", "id" : "ITEM-1", "issue" : "6", "issued" : { "date-parts" : [ [ "2013", "6", "15" ] ] }, "title" : "Pancreatic Anastomotic Leakage after Pancreaticoduodenectomy. Risk factors, Clinical predictors, and Management (Single Center Experience)", "type" : "article-journal", "volume" : "37" }, "uris" : [ "http://www.mendeley.com/documents/?uuid=07ebdf6b-7d16-40c8-8e71-a4cc7a118e56" ] } ], "mendeley" : { "formattedCitation" : "[30]", "plainTextFormattedCitation" : "[30]", "previouslyFormattedCitation" : "&lt;sup&gt;30&lt;/sup&gt;" }, "properties" : {  }, "schema" : "https://github.com/citation-style-language/schema/raw/master/csl-citation.json" }</w:instrText>
            </w:r>
            <w:r w:rsidRPr="000D35D4">
              <w:rPr>
                <w:lang w:val="en-US"/>
              </w:rPr>
              <w:fldChar w:fldCharType="separate"/>
            </w:r>
            <w:r w:rsidR="00625C5F" w:rsidRPr="00625C5F">
              <w:rPr>
                <w:noProof/>
                <w:lang w:val="en-US"/>
              </w:rPr>
              <w:t>[30]</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471</w:t>
            </w:r>
          </w:p>
        </w:tc>
        <w:tc>
          <w:tcPr>
            <w:tcW w:w="1134" w:type="dxa"/>
            <w:vAlign w:val="center"/>
          </w:tcPr>
          <w:p w:rsidR="004F7AFD" w:rsidRPr="000D35D4" w:rsidRDefault="004F7AFD" w:rsidP="004F7AFD">
            <w:pPr>
              <w:jc w:val="center"/>
              <w:rPr>
                <w:lang w:val="en-US"/>
              </w:rPr>
            </w:pPr>
            <w:r w:rsidRPr="000D35D4">
              <w:rPr>
                <w:lang w:val="en-US"/>
              </w:rPr>
              <w:t>36</w:t>
            </w:r>
          </w:p>
        </w:tc>
        <w:tc>
          <w:tcPr>
            <w:tcW w:w="993" w:type="dxa"/>
            <w:vAlign w:val="center"/>
          </w:tcPr>
          <w:p w:rsidR="004F7AFD" w:rsidRPr="000D35D4" w:rsidRDefault="004F7AFD" w:rsidP="004F7AFD">
            <w:pPr>
              <w:jc w:val="center"/>
              <w:rPr>
                <w:lang w:val="en-US"/>
              </w:rPr>
            </w:pPr>
            <w:r w:rsidRPr="000D35D4">
              <w:rPr>
                <w:lang w:val="en-US"/>
              </w:rPr>
              <w:t>4000</w:t>
            </w:r>
          </w:p>
        </w:tc>
        <w:tc>
          <w:tcPr>
            <w:tcW w:w="708" w:type="dxa"/>
            <w:vAlign w:val="center"/>
          </w:tcPr>
          <w:p w:rsidR="004F7AFD" w:rsidRPr="000D35D4" w:rsidRDefault="004F7AFD" w:rsidP="004F7AFD">
            <w:pPr>
              <w:jc w:val="center"/>
              <w:rPr>
                <w:lang w:val="en-US"/>
              </w:rPr>
            </w:pPr>
            <w:r w:rsidRPr="000D35D4">
              <w:rPr>
                <w:lang w:val="en-US"/>
              </w:rPr>
              <w:t>5</w:t>
            </w:r>
          </w:p>
        </w:tc>
        <w:tc>
          <w:tcPr>
            <w:tcW w:w="709" w:type="dxa"/>
            <w:vAlign w:val="center"/>
          </w:tcPr>
          <w:p w:rsidR="004F7AFD" w:rsidRPr="000D35D4" w:rsidRDefault="004F7AFD" w:rsidP="004F7AFD">
            <w:pPr>
              <w:jc w:val="center"/>
              <w:rPr>
                <w:lang w:val="en-US"/>
              </w:rPr>
            </w:pPr>
            <w:r w:rsidRPr="000D35D4">
              <w:rPr>
                <w:lang w:val="en-US"/>
              </w:rPr>
              <w:t>74</w:t>
            </w:r>
          </w:p>
        </w:tc>
        <w:tc>
          <w:tcPr>
            <w:tcW w:w="709" w:type="dxa"/>
            <w:vAlign w:val="center"/>
          </w:tcPr>
          <w:p w:rsidR="004F7AFD" w:rsidRPr="000D35D4" w:rsidRDefault="004F7AFD" w:rsidP="004F7AFD">
            <w:pPr>
              <w:jc w:val="center"/>
              <w:rPr>
                <w:lang w:val="en-US"/>
              </w:rPr>
            </w:pPr>
            <w:r w:rsidRPr="000D35D4">
              <w:rPr>
                <w:lang w:val="en-US"/>
              </w:rPr>
              <w:t>99</w:t>
            </w:r>
          </w:p>
        </w:tc>
        <w:tc>
          <w:tcPr>
            <w:tcW w:w="709"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708"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1134" w:type="dxa"/>
            <w:vAlign w:val="center"/>
          </w:tcPr>
          <w:p w:rsidR="004F7AFD" w:rsidRPr="000D35D4" w:rsidRDefault="004F7AFD" w:rsidP="004F7AFD">
            <w:pPr>
              <w:jc w:val="center"/>
              <w:rPr>
                <w:lang w:val="en-US"/>
              </w:rPr>
            </w:pPr>
            <w:proofErr w:type="spellStart"/>
            <w:r w:rsidRPr="000D35D4">
              <w:rPr>
                <w:lang w:val="en-US"/>
              </w:rPr>
              <w:t>Nr</w:t>
            </w:r>
            <w:proofErr w:type="spellEnd"/>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Shinchi</w:t>
            </w:r>
            <w:proofErr w:type="spellEnd"/>
            <w:r w:rsidRPr="000D35D4">
              <w:rPr>
                <w:lang w:val="en-US"/>
              </w:rPr>
              <w:t xml:space="preserve"> 2006</w:t>
            </w:r>
            <w:r w:rsidRPr="000D35D4">
              <w:rPr>
                <w:lang w:val="en-US"/>
              </w:rPr>
              <w:fldChar w:fldCharType="begin" w:fldLock="1"/>
            </w:r>
            <w:r w:rsidR="00625C5F">
              <w:rPr>
                <w:lang w:val="en-US"/>
              </w:rPr>
              <w:instrText>ADDIN CSL_CITATION { "citationItems" : [ { "id" : "ITEM-1", "itemData" : { "DOI" : "10.1016/j.gassur.2005.08.029", "ISSN" : "1091255X", "PMID" : "16627213", "abstract" : "Pancreatic anastomotic leak (leak) remains a persistent problem after pancreaticoduodenectomy (PD). Recent reports indicate a mean occurrence of 10% with a range of 2%-28% of patients. However, valid comparisons for these studies cannot be made because the definition of leak is variable, and many patients deemed to have a leak are not sick. The aim of this study was to determine the meaning of the volume and amylase content of the effluent from surgical drains by comparing these values to actual clinical outcomes. From January 1996 to July 2002, 207 consecutive patients underwent PD. We considered a leak to be present if greater than 30 ml/day of drainage was observed from drains and if that drainage contained an amylase-rich fluid (greater than 5X serum) on or after postoperative day (POD) 5. Cases were then divided into three groups-no leak, chemical leak only (leak but asymptomatic), and a clinical leak group (leak that required therapeutic intervention, reoperation, readmission, or prolonged length of stay). Then the drainage volume and its amylase concentration for every postoperative day were compared between the three groups. There were no operative or hospital deaths, and the mean length of stay (LOS) was 11.2 +/- 6.1 days. Prolonged LOS was set at greater than 17 days (one standard deviation beyond the mean LOS for all cases). Leak was observed in 14% of cases (n = 29) and the patients were subsequently divided into these groups: no leak (n = 178), chemical leak only (n = 12), and clinical leak (n = 17). Surprisingly, the daily drain amylase values did not differ between the chemical leak group and the clinical leak group. The daily volume of drainage on POD 5-8 for the clinical leak group was significantly greater than the volumes of the other two groups, so that a combination of greater than 200 ml/day of drainage on POD 5 with an amylase greater than 5X serum had a positive predictive value (PPV) of 84% and a negative predictive value (NPV) of 99% for a clinically relevant leak. We used broad criteria from drainage effluent to include as many potential leaks as possible. This broad definition of leak selected 14% of the PD patients as having a leak; within this group, all of the clinical complications of leak occurred. By increasing the volume criteria from greater than 30 ml per day to greater than 200 ml per day, the PPV was increased from 59% to 84% while keeping NPV at 99%. Drain data based on the volume and amylase criteria of this stud\u2026", "author" : [ { "dropping-particle" : "", "family" : "Shinchi", "given" : "Hiroyuki", "non-dropping-particle" : "", "parse-names" : false, "suffix" : "" }, { "dropping-particle" : "", "family" : "WADA", "given" : "Keita", "non-dropping-particle" : "", "parse-names" : false, "suffix" : "" }, { "dropping-particle" : "", "family" : "TRAVERSO", "given" : "L William", "non-dropping-particle" : "", "parse-names" : false, "suffix" : "" } ], "container-title" : "Journal of Gastrointestinal Surgery", "id" : "ITEM-1", "issue" : "4", "issued" : { "date-parts" : [ [ "2006", "4" ] ] }, "page" : "490-498", "title" : "The Usefulness of Drain Data to Identify a Clinically Relevant Pancreatic Anastomotic Leak After Pancreaticoduodenectomy?", "type" : "article-journal", "volume" : "10" }, "uris" : [ "http://www.mendeley.com/documents/?uuid=eec39282-7a3d-453b-9153-d595c29f4c77" ] } ], "mendeley" : { "formattedCitation" : "[31]", "plainTextFormattedCitation" : "[31]", "previouslyFormattedCitation" : "&lt;sup&gt;31&lt;/sup&gt;" }, "properties" : {  }, "schema" : "https://github.com/citation-style-language/schema/raw/master/csl-citation.json" }</w:instrText>
            </w:r>
            <w:r w:rsidRPr="000D35D4">
              <w:rPr>
                <w:lang w:val="en-US"/>
              </w:rPr>
              <w:fldChar w:fldCharType="separate"/>
            </w:r>
            <w:r w:rsidR="00625C5F" w:rsidRPr="00625C5F">
              <w:rPr>
                <w:noProof/>
                <w:lang w:val="en-US"/>
              </w:rPr>
              <w:t>[31]</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207</w:t>
            </w:r>
          </w:p>
        </w:tc>
        <w:tc>
          <w:tcPr>
            <w:tcW w:w="1134" w:type="dxa"/>
            <w:vAlign w:val="center"/>
          </w:tcPr>
          <w:p w:rsidR="004F7AFD" w:rsidRPr="000D35D4" w:rsidRDefault="004F7AFD" w:rsidP="004F7AFD">
            <w:pPr>
              <w:jc w:val="center"/>
              <w:rPr>
                <w:lang w:val="en-US"/>
              </w:rPr>
            </w:pPr>
            <w:r w:rsidRPr="000D35D4">
              <w:rPr>
                <w:lang w:val="en-US"/>
              </w:rPr>
              <w:t>17</w:t>
            </w:r>
          </w:p>
        </w:tc>
        <w:tc>
          <w:tcPr>
            <w:tcW w:w="993" w:type="dxa"/>
            <w:vAlign w:val="center"/>
          </w:tcPr>
          <w:p w:rsidR="004F7AFD" w:rsidRPr="000D35D4" w:rsidRDefault="004F7AFD" w:rsidP="004F7AFD">
            <w:pPr>
              <w:jc w:val="center"/>
              <w:rPr>
                <w:lang w:val="en-US"/>
              </w:rPr>
            </w:pPr>
            <w:r w:rsidRPr="000D35D4">
              <w:rPr>
                <w:lang w:val="en-US"/>
              </w:rPr>
              <w:t>500</w:t>
            </w:r>
          </w:p>
        </w:tc>
        <w:tc>
          <w:tcPr>
            <w:tcW w:w="708" w:type="dxa"/>
            <w:vAlign w:val="center"/>
          </w:tcPr>
          <w:p w:rsidR="004F7AFD" w:rsidRPr="000D35D4" w:rsidRDefault="004F7AFD" w:rsidP="004F7AFD">
            <w:pPr>
              <w:jc w:val="center"/>
              <w:rPr>
                <w:lang w:val="en-US"/>
              </w:rPr>
            </w:pPr>
            <w:r w:rsidRPr="000D35D4">
              <w:rPr>
                <w:lang w:val="en-US"/>
              </w:rPr>
              <w:t>5</w:t>
            </w:r>
          </w:p>
        </w:tc>
        <w:tc>
          <w:tcPr>
            <w:tcW w:w="709"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709" w:type="dxa"/>
            <w:vAlign w:val="center"/>
          </w:tcPr>
          <w:p w:rsidR="004F7AFD" w:rsidRPr="000D35D4" w:rsidRDefault="004F7AFD" w:rsidP="004F7AFD">
            <w:pPr>
              <w:jc w:val="center"/>
              <w:rPr>
                <w:lang w:val="en-US"/>
              </w:rPr>
            </w:pPr>
            <w:proofErr w:type="spellStart"/>
            <w:r w:rsidRPr="000D35D4">
              <w:rPr>
                <w:lang w:val="en-US"/>
              </w:rPr>
              <w:t>Nr</w:t>
            </w:r>
            <w:proofErr w:type="spellEnd"/>
          </w:p>
        </w:tc>
        <w:tc>
          <w:tcPr>
            <w:tcW w:w="709" w:type="dxa"/>
            <w:vAlign w:val="center"/>
          </w:tcPr>
          <w:p w:rsidR="004F7AFD" w:rsidRPr="000D35D4" w:rsidRDefault="004F7AFD" w:rsidP="004F7AFD">
            <w:pPr>
              <w:jc w:val="center"/>
              <w:rPr>
                <w:lang w:val="en-US"/>
              </w:rPr>
            </w:pPr>
            <w:r w:rsidRPr="000D35D4">
              <w:rPr>
                <w:lang w:val="en-US"/>
              </w:rPr>
              <w:t>45</w:t>
            </w:r>
          </w:p>
        </w:tc>
        <w:tc>
          <w:tcPr>
            <w:tcW w:w="708" w:type="dxa"/>
            <w:vAlign w:val="center"/>
          </w:tcPr>
          <w:p w:rsidR="004F7AFD" w:rsidRPr="000D35D4" w:rsidRDefault="004F7AFD" w:rsidP="004F7AFD">
            <w:pPr>
              <w:jc w:val="center"/>
              <w:rPr>
                <w:lang w:val="en-US"/>
              </w:rPr>
            </w:pPr>
            <w:r w:rsidRPr="000D35D4">
              <w:rPr>
                <w:lang w:val="en-US"/>
              </w:rPr>
              <w:t>100</w:t>
            </w:r>
          </w:p>
        </w:tc>
        <w:tc>
          <w:tcPr>
            <w:tcW w:w="1134" w:type="dxa"/>
            <w:vAlign w:val="center"/>
          </w:tcPr>
          <w:p w:rsidR="004F7AFD" w:rsidRPr="000D35D4" w:rsidRDefault="004F7AFD" w:rsidP="004F7AFD">
            <w:pPr>
              <w:jc w:val="center"/>
              <w:rPr>
                <w:lang w:val="en-US"/>
              </w:rPr>
            </w:pPr>
            <w:proofErr w:type="spellStart"/>
            <w:r w:rsidRPr="000D35D4">
              <w:rPr>
                <w:lang w:val="en-US"/>
              </w:rPr>
              <w:t>Nr</w:t>
            </w:r>
            <w:proofErr w:type="spellEnd"/>
          </w:p>
        </w:tc>
      </w:tr>
      <w:tr w:rsidR="004F7AFD" w:rsidRPr="007F78C3"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Facy</w:t>
            </w:r>
            <w:proofErr w:type="spellEnd"/>
            <w:r w:rsidRPr="000D35D4">
              <w:rPr>
                <w:lang w:val="en-US"/>
              </w:rPr>
              <w:t xml:space="preserve"> 2012</w:t>
            </w:r>
            <w:r w:rsidRPr="000D35D4">
              <w:rPr>
                <w:lang w:val="en-US"/>
              </w:rPr>
              <w:fldChar w:fldCharType="begin" w:fldLock="1"/>
            </w:r>
            <w:r w:rsidR="00625C5F">
              <w:rPr>
                <w:lang w:val="en-US"/>
              </w:rPr>
              <w:instrText>ADDIN CSL_CITATION { "citationItems" : [ { "id" : "ITEM-1", "itemData" : { "DOI" : "10.1002/bjs.8774", "ISBN" : "1365-2168 (Electronic)\\r0007-1323 (Linking)", "ISSN" : "1365-2168", "PMID" : "22539219", "abstract" : "BACKGROUND: Pancreatic fistula (PF) is a major source of morbidity after pancreatectomy. The International Study Group on Pancreatic Fistula (ISGPF) defines postoperative fistula by an amylase concentration in the abdominal drain of more than three times the serum value on day 3 or more after surgery. However, this definition fails to identify some clinical fistulas. This study examined the association between lipase measured in abdominal drainage fluid and PF.\\n\\nMETHODS: Amylase and lipase levels in the abdominal drain were measured 3 days after pancreatic resection. Grade B and C fistulas were classified as clinical fistulas, regardless of whether the measured amylase concentration was considered positive or negative. The PF group included patients with a clinical fistula and/or those with positive amylase according to the ISGPF definition.\\n\\nRESULTS: Sixty-five patients were included. The median level of lipase was higher in patients with positive amylase than in those with negative amylase: 12,176 versus 64 units/l (P &lt; 0\u00b7001). The lipase level was 16,500 units/l in patients with a clinical fistula and 224 units/l in those without a clinical fistula (P = 0\u00b7001). Patients with a PF had a higher lipase concentration than those without: 7852 versus 64 units/l (P &lt; 0\u00b7001). A lipase level higher than 500 units/l yielded a sensitivity of 88 per cent and a specificity of 75 per cent for PF. For clinical fistulas the sensitivity was 93 per cent and specificity 77 per cent when the threshold for lipase was 1000 units/l.\\n\\nCONCLUSION: Lipase concentration in the abdominal drain correlated with PF. A threshold of 1000 units/l yielded a high sensitivity and specificity for the diagnosis of clinical PF.", "author" : [ { "dropping-particle" : "", "family" : "Facy", "given" : "O", "non-dropping-particle" : "", "parse-names" : false, "suffix" : "" }, { "dropping-particle" : "", "family" : "Chalumeau", "given" : "C", "non-dropping-particle" : "", "parse-names" : false, "suffix" : "" }, { "dropping-particle" : "", "family" : "Poussier", "given" : "M", "non-dropping-particle" : "", "parse-names" : false, "suffix" : "" }, { "dropping-particle" : "", "family" : "Binquet", "given" : "C", "non-dropping-particle" : "", "parse-names" : false, "suffix" : "" }, { "dropping-particle" : "", "family" : "Rat", "given" : "P", "non-dropping-particle" : "", "parse-names" : false, "suffix" : "" }, { "dropping-particle" : "", "family" : "Ortega-Deballon", "given" : "P", "non-dropping-particle" : "", "parse-names" : false, "suffix" : "" } ], "container-title" : "The British journal of surgery", "id" : "ITEM-1", "issue" : "8", "issued" : { "date-parts" : [ [ "2012", "8" ] ] }, "page" : "1072-5", "title" : "Diagnosis of postoperative pancreatic fistula.", "type" : "article-journal", "volume" : "99" }, "uris" : [ "http://www.mendeley.com/documents/?uuid=479095b4-e0db-4652-bce3-a0c1d080e8e7" ] } ], "mendeley" : { "formattedCitation" : "[32]", "plainTextFormattedCitation" : "[32]", "previouslyFormattedCitation" : "&lt;sup&gt;32&lt;/sup&gt;" }, "properties" : {  }, "schema" : "https://github.com/citation-style-language/schema/raw/master/csl-citation.json" }</w:instrText>
            </w:r>
            <w:r w:rsidRPr="000D35D4">
              <w:rPr>
                <w:lang w:val="en-US"/>
              </w:rPr>
              <w:fldChar w:fldCharType="separate"/>
            </w:r>
            <w:r w:rsidR="00625C5F" w:rsidRPr="00625C5F">
              <w:rPr>
                <w:noProof/>
                <w:lang w:val="en-US"/>
              </w:rPr>
              <w:t>[32]</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65</w:t>
            </w:r>
          </w:p>
        </w:tc>
        <w:tc>
          <w:tcPr>
            <w:tcW w:w="1134" w:type="dxa"/>
            <w:vAlign w:val="center"/>
          </w:tcPr>
          <w:p w:rsidR="004F7AFD" w:rsidRPr="000D35D4" w:rsidRDefault="004F7AFD" w:rsidP="004F7AFD">
            <w:pPr>
              <w:jc w:val="center"/>
              <w:rPr>
                <w:lang w:val="en-US"/>
              </w:rPr>
            </w:pPr>
            <w:r w:rsidRPr="000D35D4">
              <w:rPr>
                <w:lang w:val="en-US"/>
              </w:rPr>
              <w:t>14</w:t>
            </w:r>
          </w:p>
        </w:tc>
        <w:tc>
          <w:tcPr>
            <w:tcW w:w="993" w:type="dxa"/>
            <w:vAlign w:val="center"/>
          </w:tcPr>
          <w:p w:rsidR="004F7AFD" w:rsidRPr="000D35D4" w:rsidRDefault="004F7AFD" w:rsidP="004F7AFD">
            <w:pPr>
              <w:jc w:val="center"/>
              <w:rPr>
                <w:lang w:val="en-US"/>
              </w:rPr>
            </w:pPr>
            <w:r w:rsidRPr="000D35D4">
              <w:rPr>
                <w:lang w:val="en-US"/>
              </w:rPr>
              <w:t>1000</w:t>
            </w:r>
          </w:p>
        </w:tc>
        <w:tc>
          <w:tcPr>
            <w:tcW w:w="708" w:type="dxa"/>
            <w:vAlign w:val="center"/>
          </w:tcPr>
          <w:p w:rsidR="004F7AFD" w:rsidRPr="000D35D4" w:rsidRDefault="004F7AFD" w:rsidP="004F7AFD">
            <w:pPr>
              <w:jc w:val="center"/>
              <w:rPr>
                <w:lang w:val="en-US"/>
              </w:rPr>
            </w:pPr>
            <w:r w:rsidRPr="000D35D4">
              <w:rPr>
                <w:lang w:val="en-US"/>
              </w:rPr>
              <w:t>Any</w:t>
            </w:r>
          </w:p>
        </w:tc>
        <w:tc>
          <w:tcPr>
            <w:tcW w:w="709" w:type="dxa"/>
            <w:vAlign w:val="center"/>
          </w:tcPr>
          <w:p w:rsidR="004F7AFD" w:rsidRPr="000D35D4" w:rsidRDefault="004F7AFD" w:rsidP="004F7AFD">
            <w:pPr>
              <w:jc w:val="center"/>
              <w:rPr>
                <w:lang w:val="en-US"/>
              </w:rPr>
            </w:pPr>
            <w:r w:rsidRPr="000D35D4">
              <w:rPr>
                <w:lang w:val="en-US"/>
              </w:rPr>
              <w:t>79</w:t>
            </w:r>
          </w:p>
        </w:tc>
        <w:tc>
          <w:tcPr>
            <w:tcW w:w="709" w:type="dxa"/>
            <w:vAlign w:val="center"/>
          </w:tcPr>
          <w:p w:rsidR="004F7AFD" w:rsidRPr="000D35D4" w:rsidRDefault="004F7AFD" w:rsidP="004F7AFD">
            <w:pPr>
              <w:jc w:val="center"/>
              <w:rPr>
                <w:lang w:val="en-US"/>
              </w:rPr>
            </w:pPr>
            <w:r w:rsidRPr="000D35D4">
              <w:rPr>
                <w:lang w:val="en-US"/>
              </w:rPr>
              <w:t>78</w:t>
            </w:r>
          </w:p>
        </w:tc>
        <w:tc>
          <w:tcPr>
            <w:tcW w:w="709" w:type="dxa"/>
            <w:vAlign w:val="center"/>
          </w:tcPr>
          <w:p w:rsidR="004F7AFD" w:rsidRPr="000D35D4" w:rsidRDefault="004F7AFD" w:rsidP="004F7AFD">
            <w:pPr>
              <w:jc w:val="center"/>
              <w:rPr>
                <w:lang w:val="en-US"/>
              </w:rPr>
            </w:pPr>
            <w:r w:rsidRPr="000D35D4">
              <w:rPr>
                <w:lang w:val="en-US"/>
              </w:rPr>
              <w:t>50</w:t>
            </w:r>
          </w:p>
        </w:tc>
        <w:tc>
          <w:tcPr>
            <w:tcW w:w="708" w:type="dxa"/>
            <w:vAlign w:val="center"/>
          </w:tcPr>
          <w:p w:rsidR="004F7AFD" w:rsidRPr="000D35D4" w:rsidRDefault="004F7AFD" w:rsidP="004F7AFD">
            <w:pPr>
              <w:jc w:val="center"/>
              <w:rPr>
                <w:lang w:val="en-US"/>
              </w:rPr>
            </w:pPr>
            <w:r w:rsidRPr="000D35D4">
              <w:rPr>
                <w:lang w:val="en-US"/>
              </w:rPr>
              <w:t>93</w:t>
            </w:r>
          </w:p>
        </w:tc>
        <w:tc>
          <w:tcPr>
            <w:tcW w:w="1134" w:type="dxa"/>
            <w:vAlign w:val="center"/>
          </w:tcPr>
          <w:p w:rsidR="004F7AFD" w:rsidRPr="000D35D4" w:rsidRDefault="004F7AFD" w:rsidP="004F7AFD">
            <w:pPr>
              <w:jc w:val="center"/>
              <w:rPr>
                <w:lang w:val="en-US"/>
              </w:rPr>
            </w:pPr>
            <w:r w:rsidRPr="000D35D4">
              <w:rPr>
                <w:lang w:val="en-US"/>
              </w:rPr>
              <w:t>79</w:t>
            </w:r>
          </w:p>
        </w:tc>
      </w:tr>
      <w:tr w:rsidR="004F7AFD" w:rsidRPr="007F78C3" w:rsidTr="004F7AFD">
        <w:trPr>
          <w:trHeight w:val="340"/>
        </w:trPr>
        <w:tc>
          <w:tcPr>
            <w:tcW w:w="9180" w:type="dxa"/>
            <w:gridSpan w:val="10"/>
            <w:vAlign w:val="center"/>
          </w:tcPr>
          <w:p w:rsidR="004F7AFD" w:rsidRPr="000D35D4" w:rsidRDefault="004F7AFD" w:rsidP="004F7AFD">
            <w:pPr>
              <w:rPr>
                <w:i/>
                <w:sz w:val="20"/>
                <w:lang w:val="en-US"/>
              </w:rPr>
            </w:pPr>
            <w:r w:rsidRPr="000D35D4">
              <w:rPr>
                <w:i/>
                <w:sz w:val="20"/>
                <w:lang w:val="en-US"/>
              </w:rPr>
              <w:t xml:space="preserve">N, total number of patients included in analysis; severe PF, severe pancreatic fistula (i.e. ISGPS grade B/C); Day, postoperative day; </w:t>
            </w:r>
            <w:proofErr w:type="spellStart"/>
            <w:r w:rsidRPr="000D35D4">
              <w:rPr>
                <w:i/>
                <w:sz w:val="20"/>
                <w:lang w:val="en-US"/>
              </w:rPr>
              <w:t>sens</w:t>
            </w:r>
            <w:proofErr w:type="spellEnd"/>
            <w:r w:rsidRPr="000D35D4">
              <w:rPr>
                <w:i/>
                <w:sz w:val="20"/>
                <w:lang w:val="en-US"/>
              </w:rPr>
              <w:t xml:space="preserve">, sensitivity; spec, specificity; PPV, positive predictive value; NPV, negative predictive value; </w:t>
            </w:r>
            <w:proofErr w:type="spellStart"/>
            <w:r w:rsidRPr="000D35D4">
              <w:rPr>
                <w:i/>
                <w:sz w:val="20"/>
                <w:lang w:val="en-US"/>
              </w:rPr>
              <w:t>nr</w:t>
            </w:r>
            <w:proofErr w:type="spellEnd"/>
            <w:r w:rsidRPr="000D35D4">
              <w:rPr>
                <w:i/>
                <w:sz w:val="20"/>
                <w:lang w:val="en-US"/>
              </w:rPr>
              <w:t xml:space="preserve">, not reported. Accuracy was calculated by dividing number of correct assessments by total number of assessments. The study by </w:t>
            </w:r>
            <w:proofErr w:type="spellStart"/>
            <w:r w:rsidRPr="000D35D4">
              <w:rPr>
                <w:i/>
                <w:sz w:val="20"/>
                <w:lang w:val="en-US"/>
              </w:rPr>
              <w:t>Uemura</w:t>
            </w:r>
            <w:proofErr w:type="spellEnd"/>
            <w:r w:rsidRPr="000D35D4">
              <w:rPr>
                <w:i/>
                <w:sz w:val="20"/>
                <w:lang w:val="en-US"/>
              </w:rPr>
              <w:t xml:space="preserve"> et al.</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r w:rsidRPr="000D35D4">
              <w:rPr>
                <w:i/>
                <w:sz w:val="20"/>
                <w:lang w:val="en-US"/>
              </w:rPr>
              <w:t xml:space="preserve"> and Kobayashi et al</w:t>
            </w:r>
            <w:r>
              <w:rPr>
                <w:i/>
                <w:sz w:val="20"/>
                <w:lang w:val="en-US"/>
              </w:rPr>
              <w:t>.</w:t>
            </w:r>
            <w:r w:rsidRPr="000D35D4">
              <w:rPr>
                <w:lang w:val="en-US"/>
              </w:rPr>
              <w:fldChar w:fldCharType="begin" w:fldLock="1"/>
            </w:r>
            <w:r w:rsidR="00625C5F">
              <w:rPr>
                <w:lang w:val="en-US"/>
              </w:rPr>
              <w:instrText>ADDIN CSL_CITATION { "citationItems" : [ { "id" : "ITEM-1", "itemData" : { "DOI" : "10.5754/hge11655", "PMID" : "23732781", "abstract" : "BACKGROUND/AIMS Effectiveness of infection control for prevention of pancreatic fistula (PF) after pancreaticoduodenectomy (PD) is not clear. We analyzed the impact of infection on the development of PF and examined the effect of enhanced infection control to prevent PF. METHODOLOGY Amylase level (D-amylase) and bacterial culture (D-culture) of drainage fluid were evaluated on POD 1, 3, 5 and 7, in 90 consecutive patients with soft pancreas who underwent PD. The study period was divided into two periods. The relationship between D-amylase and D-culture was examined, and the clinicopathological factors predicting PF were analyzed in the first period. Then, anti-infection measures were introduced in the second period, and the effect of enhanced infection control was examined. RESULTS Twenty-nine out of 58 patients (50.0%) developed PF in the first period. D-amylase were higher in patients with D-culture infection than in those without it (p&lt;0.05). D-amylase above 10,000IU/L on POD1 and D-culture infection on POD3 were independent predictive factors for PF by multivariate analysis (p&lt;0.01). After introduction of enhanced infection control in the second period, four out of 32 patients (12.5%) developed PF. The rates of PF and D-culture infection were significantly reduced (p&lt;0.05). CONCLUSIONS Infection of drainage fluid is related to an increased level of amylase, resulting in PF. Enhanced infection control can effectively prevent PF after PD in soft pancreas.", "author" : [ { "dropping-particle" : "", "family" : "Kobayashi", "given" : "Shin", "non-dropping-particle" : "", "parse-names" : false, "suffix" : "" }, { "dropping-particle" : "", "family" : "Gotohda", "given" : "Naoto", "non-dropping-particle" : "", "parse-names" : false, "suffix" : "" }, { "dropping-particle" : "", "family" : "Kato", "given" : "Yuichiro", "non-dropping-particle" : "", "parse-names" : false, "suffix" : "" }, { "dropping-particle" : "", "family" : "Takahashi", "given" : "Shinichiro", "non-dropping-particle" : "", "parse-names" : false, "suffix" : "" }, { "dropping-particle" : "", "family" : "Konishi", "given" : "Masaru", "non-dropping-particle" : "", "parse-names" : false, "suffix" : "" }, { "dropping-particle" : "", "family" : "Kinoshita", "given" : "Taira", "non-dropping-particle" : "", "parse-names" : false, "suffix" : "" } ], "container-title" : "Hepato-gastroenterology", "id" : "ITEM-1", "issue" : "124", "issued" : { "date-parts" : [ [ "2013", "6" ] ] }, "page" : "876-82", "title" : "Infection control for prevention of pancreatic fistula after pancreaticoduodenectomy.", "type" : "article-journal", "volume" : "60" }, "uris" : [ "http://www.mendeley.com/documents/?uuid=090f94d8-6d1e-3e18-96bf-faada78b9e37" ] } ], "mendeley" : { "formattedCitation" : "[29]", "plainTextFormattedCitation" : "[29]", "previouslyFormattedCitation" : "&lt;sup&gt;29&lt;/sup&gt;" }, "properties" : {  }, "schema" : "https://github.com/citation-style-language/schema/raw/master/csl-citation.json" }</w:instrText>
            </w:r>
            <w:r w:rsidRPr="000D35D4">
              <w:rPr>
                <w:lang w:val="en-US"/>
              </w:rPr>
              <w:fldChar w:fldCharType="separate"/>
            </w:r>
            <w:r w:rsidR="00625C5F" w:rsidRPr="00625C5F">
              <w:rPr>
                <w:noProof/>
                <w:lang w:val="en-US"/>
              </w:rPr>
              <w:t>[29]</w:t>
            </w:r>
            <w:r w:rsidRPr="000D35D4">
              <w:rPr>
                <w:lang w:val="en-US"/>
              </w:rPr>
              <w:fldChar w:fldCharType="end"/>
            </w:r>
            <w:r w:rsidRPr="000D35D4">
              <w:rPr>
                <w:i/>
                <w:sz w:val="20"/>
                <w:lang w:val="en-US"/>
              </w:rPr>
              <w:t xml:space="preserve"> both evaluated two cut off points on different postoperative days. </w:t>
            </w:r>
          </w:p>
          <w:p w:rsidR="004F7AFD" w:rsidRPr="000D35D4" w:rsidRDefault="004F7AFD" w:rsidP="004F7AFD">
            <w:pPr>
              <w:rPr>
                <w:i/>
                <w:sz w:val="20"/>
                <w:lang w:val="en-US"/>
              </w:rPr>
            </w:pPr>
            <w:r w:rsidRPr="000D35D4">
              <w:rPr>
                <w:i/>
                <w:sz w:val="20"/>
                <w:lang w:val="en-US"/>
              </w:rPr>
              <w:t>* Values in units per liter</w:t>
            </w:r>
          </w:p>
        </w:tc>
      </w:tr>
    </w:tbl>
    <w:p w:rsidR="004F7AFD" w:rsidRPr="000D35D4" w:rsidRDefault="004F7AFD" w:rsidP="004F7AFD">
      <w:pPr>
        <w:spacing w:after="0"/>
        <w:jc w:val="both"/>
        <w:rPr>
          <w:lang w:val="en-US"/>
        </w:rPr>
      </w:pPr>
    </w:p>
    <w:p w:rsidR="004F7AFD" w:rsidRPr="000D35D4" w:rsidRDefault="004F7AFD" w:rsidP="004F7AFD">
      <w:pPr>
        <w:spacing w:after="0"/>
        <w:jc w:val="both"/>
        <w:rPr>
          <w:lang w:val="en-US"/>
        </w:rPr>
      </w:pPr>
      <w:r w:rsidRPr="000D35D4">
        <w:rPr>
          <w:lang w:val="en-US"/>
        </w:rPr>
        <w:t xml:space="preserve">The proposed cut-offs are spread widely and the diagnostic outcomes differ between these studies. For practical reasons, we chose to adapt the definition as reported by the International Study Group on Pancreatic Surgery in the algorithm (i.e. &lt;3x upper limit of serum amylase). This reflects one of the lowest cut-offs reported in the literature. </w:t>
      </w:r>
    </w:p>
    <w:p w:rsidR="004F7AFD" w:rsidRPr="000D35D4" w:rsidRDefault="004F7AFD" w:rsidP="004F7AFD">
      <w:pPr>
        <w:spacing w:after="0"/>
        <w:jc w:val="both"/>
        <w:rPr>
          <w:lang w:val="en-US"/>
        </w:rPr>
      </w:pPr>
    </w:p>
    <w:p w:rsidR="004F7AFD" w:rsidRPr="000D35D4" w:rsidRDefault="004F7AFD" w:rsidP="004F7AFD">
      <w:pPr>
        <w:spacing w:after="0"/>
        <w:jc w:val="both"/>
        <w:rPr>
          <w:i/>
          <w:lang w:val="en-US"/>
        </w:rPr>
      </w:pPr>
      <w:r w:rsidRPr="000D35D4">
        <w:rPr>
          <w:i/>
          <w:lang w:val="en-US"/>
        </w:rPr>
        <w:t>Drain fluid appearance</w:t>
      </w:r>
    </w:p>
    <w:p w:rsidR="004F7AFD" w:rsidRPr="000D35D4" w:rsidRDefault="004F7AFD" w:rsidP="004F7AFD">
      <w:pPr>
        <w:spacing w:after="0"/>
        <w:jc w:val="both"/>
        <w:rPr>
          <w:lang w:val="en-US"/>
        </w:rPr>
      </w:pPr>
      <w:r w:rsidRPr="000D35D4">
        <w:rPr>
          <w:lang w:val="en-US"/>
        </w:rPr>
        <w:t xml:space="preserve">Even though </w:t>
      </w:r>
      <w:proofErr w:type="spellStart"/>
      <w:r w:rsidRPr="000D35D4">
        <w:rPr>
          <w:lang w:val="en-US"/>
        </w:rPr>
        <w:t>chyle</w:t>
      </w:r>
      <w:proofErr w:type="spellEnd"/>
      <w:r w:rsidRPr="000D35D4">
        <w:rPr>
          <w:lang w:val="en-US"/>
        </w:rPr>
        <w:t xml:space="preserve"> leak, </w:t>
      </w:r>
      <w:proofErr w:type="spellStart"/>
      <w:r w:rsidRPr="000D35D4">
        <w:rPr>
          <w:lang w:val="en-US"/>
        </w:rPr>
        <w:t>hepaticojejunostomy</w:t>
      </w:r>
      <w:proofErr w:type="spellEnd"/>
      <w:r w:rsidRPr="000D35D4">
        <w:rPr>
          <w:lang w:val="en-US"/>
        </w:rPr>
        <w:t xml:space="preserve"> leakage and </w:t>
      </w:r>
      <w:proofErr w:type="spellStart"/>
      <w:r w:rsidRPr="000D35D4">
        <w:rPr>
          <w:lang w:val="en-US"/>
        </w:rPr>
        <w:t>gastroenterostomy</w:t>
      </w:r>
      <w:proofErr w:type="spellEnd"/>
      <w:r w:rsidRPr="000D35D4">
        <w:rPr>
          <w:lang w:val="en-US"/>
        </w:rPr>
        <w:t xml:space="preserve"> leakage can be confirmed by biochemical tests, the suspicion of these complications is generally based on the appearance of the drain fluid. To prevent unnecessary additional biochemical tests, routine laboratory tests for these complications were not included in the algorithm. The criterion of ‘clear serous aspect’ was included in the algorithm to prevent the removal of drains that should be left in place for any other reason than pancreatic fistula. </w:t>
      </w:r>
    </w:p>
    <w:p w:rsidR="004F7AFD" w:rsidRPr="000D35D4" w:rsidRDefault="004F7AFD" w:rsidP="004F7AFD">
      <w:pPr>
        <w:spacing w:after="0"/>
        <w:jc w:val="both"/>
        <w:rPr>
          <w:lang w:val="en-US"/>
        </w:rPr>
      </w:pPr>
    </w:p>
    <w:p w:rsidR="004F7AFD" w:rsidRPr="000D35D4" w:rsidRDefault="004F7AFD" w:rsidP="004F7AFD">
      <w:pPr>
        <w:spacing w:after="0"/>
        <w:rPr>
          <w:i/>
          <w:lang w:val="en-US"/>
        </w:rPr>
      </w:pPr>
      <w:r w:rsidRPr="000D35D4">
        <w:rPr>
          <w:i/>
          <w:lang w:val="en-US"/>
        </w:rPr>
        <w:t>Drain production</w:t>
      </w:r>
    </w:p>
    <w:p w:rsidR="004F7AFD" w:rsidRPr="000D35D4" w:rsidRDefault="004F7AFD" w:rsidP="004F7AFD">
      <w:pPr>
        <w:spacing w:after="0"/>
        <w:jc w:val="both"/>
        <w:rPr>
          <w:lang w:val="en-US"/>
        </w:rPr>
      </w:pPr>
      <w:r w:rsidRPr="000D35D4">
        <w:rPr>
          <w:lang w:val="en-US"/>
        </w:rPr>
        <w:t xml:space="preserve">The association between the </w:t>
      </w:r>
      <w:r>
        <w:rPr>
          <w:lang w:val="en-US"/>
        </w:rPr>
        <w:t>volume</w:t>
      </w:r>
      <w:r w:rsidRPr="000D35D4">
        <w:rPr>
          <w:lang w:val="en-US"/>
        </w:rPr>
        <w:t xml:space="preserve"> of drain production after pancreatic resection and severe postoperative pancreatic fistula was evaluated in 2 studies on a total of 407 patients</w:t>
      </w:r>
      <w:r w:rsidRPr="000D35D4">
        <w:rPr>
          <w:lang w:val="en-US"/>
        </w:rPr>
        <w:fldChar w:fldCharType="begin" w:fldLock="1"/>
      </w:r>
      <w:r w:rsidR="00625C5F">
        <w:rPr>
          <w:lang w:val="en-US"/>
        </w:rPr>
        <w:instrText>ADDIN CSL_CITATION { "citationItems" : [ { "id" : "ITEM-1", "itemData" : { "DOI" : "10.1016/j.gassur.2005.08.029", "ISSN" : "1091255X", "PMID" : "16627213", "abstract" : "Pancreatic anastomotic leak (leak) remains a persistent problem after pancreaticoduodenectomy (PD). Recent reports indicate a mean occurrence of 10% with a range of 2%-28% of patients. However, valid comparisons for these studies cannot be made because the definition of leak is variable, and many patients deemed to have a leak are not sick. The aim of this study was to determine the meaning of the volume and amylase content of the effluent from surgical drains by comparing these values to actual clinical outcomes. From January 1996 to July 2002, 207 consecutive patients underwent PD. We considered a leak to be present if greater than 30 ml/day of drainage was observed from drains and if that drainage contained an amylase-rich fluid (greater than 5X serum) on or after postoperative day (POD) 5. Cases were then divided into three groups-no leak, chemical leak only (leak but asymptomatic), and a clinical leak group (leak that required therapeutic intervention, reoperation, readmission, or prolonged length of stay). Then the drainage volume and its amylase concentration for every postoperative day were compared between the three groups. There were no operative or hospital deaths, and the mean length of stay (LOS) was 11.2 +/- 6.1 days. Prolonged LOS was set at greater than 17 days (one standard deviation beyond the mean LOS for all cases). Leak was observed in 14% of cases (n = 29) and the patients were subsequently divided into these groups: no leak (n = 178), chemical leak only (n = 12), and clinical leak (n = 17). Surprisingly, the daily drain amylase values did not differ between the chemical leak group and the clinical leak group. The daily volume of drainage on POD 5-8 for the clinical leak group was significantly greater than the volumes of the other two groups, so that a combination of greater than 200 ml/day of drainage on POD 5 with an amylase greater than 5X serum had a positive predictive value (PPV) of 84% and a negative predictive value (NPV) of 99% for a clinically relevant leak. We used broad criteria from drainage effluent to include as many potential leaks as possible. This broad definition of leak selected 14% of the PD patients as having a leak; within this group, all of the clinical complications of leak occurred. By increasing the volume criteria from greater than 30 ml per day to greater than 200 ml per day, the PPV was increased from 59% to 84% while keeping NPV at 99%. Drain data based on the volume and amylase criteria of this stud\u2026", "author" : [ { "dropping-particle" : "", "family" : "Shinchi", "given" : "Hiroyuki", "non-dropping-particle" : "", "parse-names" : false, "suffix" : "" }, { "dropping-particle" : "", "family" : "WADA", "given" : "Keita", "non-dropping-particle" : "", "parse-names" : false, "suffix" : "" }, { "dropping-particle" : "", "family" : "TRAVERSO", "given" : "L William", "non-dropping-particle" : "", "parse-names" : false, "suffix" : "" } ], "container-title" : "Journal of Gastrointestinal Surgery", "id" : "ITEM-1", "issue" : "4", "issued" : { "date-parts" : [ [ "2006", "4" ] ] }, "page" : "490-498", "title" : "The Usefulness of Drain Data to Identify a Clinically Relevant Pancreatic Anastomotic Leak After Pancreaticoduodenectomy?", "type" : "article-journal", "volume" : "10" }, "uris" : [ "http://www.mendeley.com/documents/?uuid=eec39282-7a3d-453b-9153-d595c29f4c77" ] }, { "id" : "ITEM-2",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"ITEM-2",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"[6,31]", "plainTextFormattedCitation" : "[6,31]", "previouslyFormattedCitation" : "&lt;sup&gt;6,31&lt;/sup&gt;" }, "properties" : {  }, "schema" : "https://github.com/citation-style-language/schema/raw/master/csl-citation.json" }</w:instrText>
      </w:r>
      <w:r w:rsidRPr="000D35D4">
        <w:rPr>
          <w:lang w:val="en-US"/>
        </w:rPr>
        <w:fldChar w:fldCharType="separate"/>
      </w:r>
      <w:r w:rsidR="00625C5F" w:rsidRPr="00625C5F">
        <w:rPr>
          <w:noProof/>
          <w:lang w:val="en-US"/>
        </w:rPr>
        <w:t>[6,31]</w:t>
      </w:r>
      <w:r w:rsidRPr="000D35D4">
        <w:rPr>
          <w:lang w:val="en-US"/>
        </w:rPr>
        <w:fldChar w:fldCharType="end"/>
      </w:r>
      <w:r w:rsidRPr="000D35D4">
        <w:rPr>
          <w:lang w:val="en-US"/>
        </w:rPr>
        <w:t>. All outcomes of these studies are provided in the table below. The upper limit of proposed cut-offs was included in the proposed algorithm (i.e. 200cc in 24 hours).</w:t>
      </w:r>
    </w:p>
    <w:p w:rsidR="004F7AFD" w:rsidRPr="000D35D4" w:rsidRDefault="004F7AFD" w:rsidP="004F7AFD">
      <w:pPr>
        <w:spacing w:after="0"/>
        <w:rPr>
          <w:lang w:val="en-US"/>
        </w:rPr>
      </w:pPr>
    </w:p>
    <w:tbl>
      <w:tblPr>
        <w:tblStyle w:val="Hyperlink"/>
        <w:tblpPr w:leftFromText="141" w:rightFromText="141" w:vertAnchor="text" w:horzAnchor="margin" w:tblpY="122"/>
        <w:tblW w:w="0" w:type="auto"/>
        <w:tblLayout w:type="fixed"/>
        <w:tblLook w:val="04A0" w:firstRow="1" w:lastRow="0" w:firstColumn="1" w:lastColumn="0" w:noHBand="0" w:noVBand="1"/>
      </w:tblPr>
      <w:tblGrid>
        <w:gridCol w:w="1809"/>
        <w:gridCol w:w="567"/>
        <w:gridCol w:w="1134"/>
        <w:gridCol w:w="993"/>
        <w:gridCol w:w="708"/>
        <w:gridCol w:w="709"/>
        <w:gridCol w:w="709"/>
        <w:gridCol w:w="709"/>
        <w:gridCol w:w="708"/>
        <w:gridCol w:w="1134"/>
      </w:tblGrid>
      <w:tr w:rsidR="004F7AFD" w:rsidRPr="007F78C3" w:rsidTr="004F7AFD">
        <w:trPr>
          <w:trHeight w:val="397"/>
        </w:trPr>
        <w:tc>
          <w:tcPr>
            <w:tcW w:w="9180" w:type="dxa"/>
            <w:gridSpan w:val="10"/>
            <w:vAlign w:val="center"/>
          </w:tcPr>
          <w:p w:rsidR="004F7AFD" w:rsidRPr="000D35D4" w:rsidRDefault="004F7AFD" w:rsidP="004F7AFD">
            <w:pPr>
              <w:rPr>
                <w:b/>
                <w:lang w:val="en-US"/>
              </w:rPr>
            </w:pPr>
            <w:r w:rsidRPr="000D35D4">
              <w:rPr>
                <w:b/>
                <w:lang w:val="en-US"/>
              </w:rPr>
              <w:t>Table 5: Outcomes on diagnostic accuracy of drain production for severe pancreatic fistula</w:t>
            </w:r>
          </w:p>
        </w:tc>
      </w:tr>
      <w:tr w:rsidR="004F7AFD" w:rsidRPr="000D35D4" w:rsidTr="004F7AFD">
        <w:trPr>
          <w:trHeight w:val="397"/>
        </w:trPr>
        <w:tc>
          <w:tcPr>
            <w:tcW w:w="1809" w:type="dxa"/>
            <w:vAlign w:val="center"/>
          </w:tcPr>
          <w:p w:rsidR="004F7AFD" w:rsidRPr="000D35D4" w:rsidRDefault="004F7AFD" w:rsidP="004F7AFD">
            <w:pPr>
              <w:rPr>
                <w:b/>
                <w:lang w:val="en-US"/>
              </w:rPr>
            </w:pPr>
            <w:r w:rsidRPr="000D35D4">
              <w:rPr>
                <w:b/>
                <w:lang w:val="en-US"/>
              </w:rPr>
              <w:t>Reference</w:t>
            </w:r>
          </w:p>
        </w:tc>
        <w:tc>
          <w:tcPr>
            <w:tcW w:w="567" w:type="dxa"/>
            <w:vAlign w:val="center"/>
          </w:tcPr>
          <w:p w:rsidR="004F7AFD" w:rsidRPr="000D35D4" w:rsidRDefault="004F7AFD" w:rsidP="004F7AFD">
            <w:pPr>
              <w:jc w:val="center"/>
              <w:rPr>
                <w:b/>
                <w:lang w:val="en-US"/>
              </w:rPr>
            </w:pPr>
            <w:r w:rsidRPr="000D35D4">
              <w:rPr>
                <w:b/>
                <w:lang w:val="en-US"/>
              </w:rPr>
              <w:t>N</w:t>
            </w:r>
          </w:p>
        </w:tc>
        <w:tc>
          <w:tcPr>
            <w:tcW w:w="1134" w:type="dxa"/>
            <w:vAlign w:val="center"/>
          </w:tcPr>
          <w:p w:rsidR="004F7AFD" w:rsidRPr="000D35D4" w:rsidRDefault="004F7AFD" w:rsidP="004F7AFD">
            <w:pPr>
              <w:jc w:val="center"/>
              <w:rPr>
                <w:b/>
                <w:lang w:val="en-US"/>
              </w:rPr>
            </w:pPr>
            <w:r w:rsidRPr="000D35D4">
              <w:rPr>
                <w:b/>
                <w:lang w:val="en-US"/>
              </w:rPr>
              <w:t>Severe PF</w:t>
            </w:r>
          </w:p>
        </w:tc>
        <w:tc>
          <w:tcPr>
            <w:tcW w:w="993" w:type="dxa"/>
            <w:vAlign w:val="center"/>
          </w:tcPr>
          <w:p w:rsidR="004F7AFD" w:rsidRPr="000D35D4" w:rsidRDefault="004F7AFD" w:rsidP="004F7AFD">
            <w:pPr>
              <w:jc w:val="center"/>
              <w:rPr>
                <w:b/>
                <w:lang w:val="en-US"/>
              </w:rPr>
            </w:pPr>
            <w:r w:rsidRPr="000D35D4">
              <w:rPr>
                <w:b/>
                <w:lang w:val="en-US"/>
              </w:rPr>
              <w:t>Cut-off*</w:t>
            </w:r>
          </w:p>
        </w:tc>
        <w:tc>
          <w:tcPr>
            <w:tcW w:w="708" w:type="dxa"/>
            <w:vAlign w:val="center"/>
          </w:tcPr>
          <w:p w:rsidR="004F7AFD" w:rsidRPr="000D35D4" w:rsidRDefault="004F7AFD" w:rsidP="004F7AFD">
            <w:pPr>
              <w:jc w:val="center"/>
              <w:rPr>
                <w:b/>
                <w:lang w:val="en-US"/>
              </w:rPr>
            </w:pPr>
            <w:r w:rsidRPr="000D35D4">
              <w:rPr>
                <w:b/>
                <w:lang w:val="en-US"/>
              </w:rPr>
              <w:t>Day</w:t>
            </w:r>
          </w:p>
        </w:tc>
        <w:tc>
          <w:tcPr>
            <w:tcW w:w="709" w:type="dxa"/>
            <w:vAlign w:val="center"/>
          </w:tcPr>
          <w:p w:rsidR="004F7AFD" w:rsidRPr="000D35D4" w:rsidRDefault="004F7AFD" w:rsidP="004F7AFD">
            <w:pPr>
              <w:jc w:val="center"/>
              <w:rPr>
                <w:b/>
                <w:lang w:val="en-US"/>
              </w:rPr>
            </w:pPr>
            <w:r w:rsidRPr="000D35D4">
              <w:rPr>
                <w:b/>
                <w:lang w:val="en-US"/>
              </w:rPr>
              <w:t>Sens</w:t>
            </w:r>
          </w:p>
        </w:tc>
        <w:tc>
          <w:tcPr>
            <w:tcW w:w="709" w:type="dxa"/>
            <w:vAlign w:val="center"/>
          </w:tcPr>
          <w:p w:rsidR="004F7AFD" w:rsidRPr="000D35D4" w:rsidRDefault="004F7AFD" w:rsidP="004F7AFD">
            <w:pPr>
              <w:jc w:val="center"/>
              <w:rPr>
                <w:b/>
                <w:lang w:val="en-US"/>
              </w:rPr>
            </w:pPr>
            <w:r w:rsidRPr="000D35D4">
              <w:rPr>
                <w:b/>
                <w:lang w:val="en-US"/>
              </w:rPr>
              <w:t>Spec</w:t>
            </w:r>
          </w:p>
        </w:tc>
        <w:tc>
          <w:tcPr>
            <w:tcW w:w="709" w:type="dxa"/>
            <w:vAlign w:val="center"/>
          </w:tcPr>
          <w:p w:rsidR="004F7AFD" w:rsidRPr="000D35D4" w:rsidRDefault="004F7AFD" w:rsidP="004F7AFD">
            <w:pPr>
              <w:jc w:val="center"/>
              <w:rPr>
                <w:b/>
                <w:lang w:val="en-US"/>
              </w:rPr>
            </w:pPr>
            <w:r w:rsidRPr="000D35D4">
              <w:rPr>
                <w:b/>
                <w:lang w:val="en-US"/>
              </w:rPr>
              <w:t>PPV</w:t>
            </w:r>
          </w:p>
        </w:tc>
        <w:tc>
          <w:tcPr>
            <w:tcW w:w="708" w:type="dxa"/>
            <w:vAlign w:val="center"/>
          </w:tcPr>
          <w:p w:rsidR="004F7AFD" w:rsidRPr="000D35D4" w:rsidRDefault="004F7AFD" w:rsidP="004F7AFD">
            <w:pPr>
              <w:jc w:val="center"/>
              <w:rPr>
                <w:b/>
                <w:lang w:val="en-US"/>
              </w:rPr>
            </w:pPr>
            <w:r w:rsidRPr="000D35D4">
              <w:rPr>
                <w:b/>
                <w:lang w:val="en-US"/>
              </w:rPr>
              <w:t>NPV</w:t>
            </w:r>
          </w:p>
        </w:tc>
        <w:tc>
          <w:tcPr>
            <w:tcW w:w="1134" w:type="dxa"/>
            <w:vAlign w:val="center"/>
          </w:tcPr>
          <w:p w:rsidR="004F7AFD" w:rsidRPr="000D35D4" w:rsidRDefault="004F7AFD" w:rsidP="004F7AFD">
            <w:pPr>
              <w:jc w:val="center"/>
              <w:rPr>
                <w:b/>
                <w:lang w:val="en-US"/>
              </w:rPr>
            </w:pPr>
            <w:r w:rsidRPr="000D35D4">
              <w:rPr>
                <w:b/>
                <w:lang w:val="en-US"/>
              </w:rPr>
              <w:t>Accuracy</w:t>
            </w:r>
          </w:p>
        </w:tc>
      </w:tr>
      <w:tr w:rsidR="004F7AFD" w:rsidRPr="000D35D4" w:rsidTr="004F7AFD">
        <w:trPr>
          <w:trHeight w:val="397"/>
        </w:trPr>
        <w:tc>
          <w:tcPr>
            <w:tcW w:w="1809" w:type="dxa"/>
            <w:vAlign w:val="center"/>
          </w:tcPr>
          <w:p w:rsidR="004F7AFD" w:rsidRPr="000D35D4" w:rsidRDefault="004F7AFD" w:rsidP="004F7AFD">
            <w:pPr>
              <w:rPr>
                <w:lang w:val="en-US"/>
              </w:rPr>
            </w:pPr>
            <w:proofErr w:type="spellStart"/>
            <w:r w:rsidRPr="000D35D4">
              <w:rPr>
                <w:lang w:val="en-US"/>
              </w:rPr>
              <w:t>Shinchi</w:t>
            </w:r>
            <w:proofErr w:type="spellEnd"/>
            <w:r w:rsidRPr="000D35D4">
              <w:rPr>
                <w:lang w:val="en-US"/>
              </w:rPr>
              <w:t xml:space="preserve"> 2006</w:t>
            </w:r>
            <w:r w:rsidRPr="000D35D4">
              <w:rPr>
                <w:lang w:val="en-US"/>
              </w:rPr>
              <w:fldChar w:fldCharType="begin" w:fldLock="1"/>
            </w:r>
            <w:r w:rsidR="00625C5F">
              <w:rPr>
                <w:lang w:val="en-US"/>
              </w:rPr>
              <w:instrText>ADDIN CSL_CITATION { "citationItems" : [ { "id" : "ITEM-1", "itemData" : { "DOI" : "10.1016/j.gassur.2005.08.029", "ISSN" : "1091255X", "PMID" : "16627213", "abstract" : "Pancreatic anastomotic leak (leak) remains a persistent problem after pancreaticoduodenectomy (PD). Recent reports indicate a mean occurrence of 10% with a range of 2%-28% of patients. However, valid comparisons for these studies cannot be made because the definition of leak is variable, and many patients deemed to have a leak are not sick. The aim of this study was to determine the meaning of the volume and amylase content of the effluent from surgical drains by comparing these values to actual clinical outcomes. From January 1996 to July 2002, 207 consecutive patients underwent PD. We considered a leak to be present if greater than 30 ml/day of drainage was observed from drains and if that drainage contained an amylase-rich fluid (greater than 5X serum) on or after postoperative day (POD) 5. Cases were then divided into three groups-no leak, chemical leak only (leak but asymptomatic), and a clinical leak group (leak that required therapeutic intervention, reoperation, readmission, or prolonged length of stay). Then the drainage volume and its amylase concentration for every postoperative day were compared between the three groups. There were no operative or hospital deaths, and the mean length of stay (LOS) was 11.2 +/- 6.1 days. Prolonged LOS was set at greater than 17 days (one standard deviation beyond the mean LOS for all cases). Leak was observed in 14% of cases (n = 29) and the patients were subsequently divided into these groups: no leak (n = 178), chemical leak only (n = 12), and clinical leak (n = 17). Surprisingly, the daily drain amylase values did not differ between the chemical leak group and the clinical leak group. The daily volume of drainage on POD 5-8 for the clinical leak group was significantly greater than the volumes of the other two groups, so that a combination of greater than 200 ml/day of drainage on POD 5 with an amylase greater than 5X serum had a positive predictive value (PPV) of 84% and a negative predictive value (NPV) of 99% for a clinically relevant leak. We used broad criteria from drainage effluent to include as many potential leaks as possible. This broad definition of leak selected 14% of the PD patients as having a leak; within this group, all of the clinical complications of leak occurred. By increasing the volume criteria from greater than 30 ml per day to greater than 200 ml per day, the PPV was increased from 59% to 84% while keeping NPV at 99%. Drain data based on the volume and amylase criteria of this stud\u2026", "author" : [ { "dropping-particle" : "", "family" : "Shinchi", "given" : "Hiroyuki", "non-dropping-particle" : "", "parse-names" : false, "suffix" : "" }, { "dropping-particle" : "", "family" : "WADA", "given" : "Keita", "non-dropping-particle" : "", "parse-names" : false, "suffix" : "" }, { "dropping-particle" : "", "family" : "TRAVERSO", "given" : "L William", "non-dropping-particle" : "", "parse-names" : false, "suffix" : "" } ], "container-title" : "Journal of Gastrointestinal Surgery", "id" : "ITEM-1", "issue" : "4", "issued" : { "date-parts" : [ [ "2006", "4" ] ] }, "page" : "490-498", "title" : "The Usefulness of Drain Data to Identify a Clinically Relevant Pancreatic Anastomotic Leak After Pancreaticoduodenectomy?", "type" : "article-journal", "volume" : "10" }, "uris" : [ "http://www.mendeley.com/documents/?uuid=eec39282-7a3d-453b-9153-d595c29f4c77" ] } ], "mendeley" : { "formattedCitation" : "[31]", "plainTextFormattedCitation" : "[31]", "previouslyFormattedCitation" : "&lt;sup&gt;31&lt;/sup&gt;" }, "properties" : {  }, "schema" : "https://github.com/citation-style-language/schema/raw/master/csl-citation.json" }</w:instrText>
            </w:r>
            <w:r w:rsidRPr="000D35D4">
              <w:rPr>
                <w:lang w:val="en-US"/>
              </w:rPr>
              <w:fldChar w:fldCharType="separate"/>
            </w:r>
            <w:r w:rsidR="00625C5F" w:rsidRPr="00625C5F">
              <w:rPr>
                <w:noProof/>
                <w:lang w:val="en-US"/>
              </w:rPr>
              <w:t>[31]</w:t>
            </w:r>
            <w:r w:rsidRPr="000D35D4">
              <w:rPr>
                <w:lang w:val="en-US"/>
              </w:rPr>
              <w:fldChar w:fldCharType="end"/>
            </w:r>
          </w:p>
        </w:tc>
        <w:tc>
          <w:tcPr>
            <w:tcW w:w="567" w:type="dxa"/>
            <w:vAlign w:val="center"/>
          </w:tcPr>
          <w:p w:rsidR="004F7AFD" w:rsidRPr="000D35D4" w:rsidRDefault="004F7AFD" w:rsidP="004F7AFD">
            <w:pPr>
              <w:jc w:val="center"/>
              <w:rPr>
                <w:lang w:val="en-US"/>
              </w:rPr>
            </w:pPr>
            <w:r w:rsidRPr="000D35D4">
              <w:rPr>
                <w:lang w:val="en-US"/>
              </w:rPr>
              <w:t>207</w:t>
            </w:r>
          </w:p>
        </w:tc>
        <w:tc>
          <w:tcPr>
            <w:tcW w:w="1134" w:type="dxa"/>
            <w:vAlign w:val="center"/>
          </w:tcPr>
          <w:p w:rsidR="004F7AFD" w:rsidRPr="000D35D4" w:rsidRDefault="004F7AFD" w:rsidP="004F7AFD">
            <w:pPr>
              <w:jc w:val="center"/>
              <w:rPr>
                <w:lang w:val="en-US"/>
              </w:rPr>
            </w:pPr>
            <w:r w:rsidRPr="000D35D4">
              <w:rPr>
                <w:lang w:val="en-US"/>
              </w:rPr>
              <w:t>17</w:t>
            </w:r>
          </w:p>
        </w:tc>
        <w:tc>
          <w:tcPr>
            <w:tcW w:w="993" w:type="dxa"/>
            <w:vAlign w:val="center"/>
          </w:tcPr>
          <w:p w:rsidR="004F7AFD" w:rsidRPr="000D35D4" w:rsidRDefault="004F7AFD" w:rsidP="004F7AFD">
            <w:pPr>
              <w:jc w:val="center"/>
              <w:rPr>
                <w:lang w:val="en-US"/>
              </w:rPr>
            </w:pPr>
            <w:r w:rsidRPr="000D35D4">
              <w:rPr>
                <w:lang w:val="en-US"/>
              </w:rPr>
              <w:t xml:space="preserve">200 </w:t>
            </w:r>
          </w:p>
        </w:tc>
        <w:tc>
          <w:tcPr>
            <w:tcW w:w="708" w:type="dxa"/>
            <w:vAlign w:val="center"/>
          </w:tcPr>
          <w:p w:rsidR="004F7AFD" w:rsidRPr="000D35D4" w:rsidRDefault="004F7AFD" w:rsidP="004F7AFD">
            <w:pPr>
              <w:jc w:val="center"/>
              <w:rPr>
                <w:lang w:val="en-US"/>
              </w:rPr>
            </w:pPr>
            <w:r w:rsidRPr="000D35D4">
              <w:rPr>
                <w:lang w:val="en-US"/>
              </w:rPr>
              <w:t>&gt;5</w:t>
            </w:r>
          </w:p>
        </w:tc>
        <w:tc>
          <w:tcPr>
            <w:tcW w:w="709" w:type="dxa"/>
            <w:vAlign w:val="center"/>
          </w:tcPr>
          <w:p w:rsidR="004F7AFD" w:rsidRPr="000D35D4" w:rsidRDefault="004F7AFD" w:rsidP="004F7AFD">
            <w:pPr>
              <w:jc w:val="center"/>
              <w:rPr>
                <w:lang w:val="en-US"/>
              </w:rPr>
            </w:pPr>
            <w:r w:rsidRPr="000D35D4">
              <w:rPr>
                <w:lang w:val="en-US"/>
              </w:rPr>
              <w:t>94</w:t>
            </w:r>
          </w:p>
        </w:tc>
        <w:tc>
          <w:tcPr>
            <w:tcW w:w="709" w:type="dxa"/>
            <w:vAlign w:val="center"/>
          </w:tcPr>
          <w:p w:rsidR="004F7AFD" w:rsidRPr="000D35D4" w:rsidRDefault="004F7AFD" w:rsidP="004F7AFD">
            <w:pPr>
              <w:jc w:val="center"/>
              <w:rPr>
                <w:lang w:val="en-US"/>
              </w:rPr>
            </w:pPr>
            <w:r w:rsidRPr="000D35D4">
              <w:rPr>
                <w:lang w:val="en-US"/>
              </w:rPr>
              <w:t>80</w:t>
            </w:r>
          </w:p>
        </w:tc>
        <w:tc>
          <w:tcPr>
            <w:tcW w:w="709" w:type="dxa"/>
            <w:vAlign w:val="center"/>
          </w:tcPr>
          <w:p w:rsidR="004F7AFD" w:rsidRPr="000D35D4" w:rsidRDefault="004F7AFD" w:rsidP="004F7AFD">
            <w:pPr>
              <w:jc w:val="center"/>
              <w:rPr>
                <w:lang w:val="en-US"/>
              </w:rPr>
            </w:pPr>
            <w:r w:rsidRPr="000D35D4">
              <w:rPr>
                <w:lang w:val="en-US"/>
              </w:rPr>
              <w:t>84</w:t>
            </w:r>
          </w:p>
        </w:tc>
        <w:tc>
          <w:tcPr>
            <w:tcW w:w="708" w:type="dxa"/>
            <w:vAlign w:val="center"/>
          </w:tcPr>
          <w:p w:rsidR="004F7AFD" w:rsidRPr="000D35D4" w:rsidRDefault="004F7AFD" w:rsidP="004F7AFD">
            <w:pPr>
              <w:jc w:val="center"/>
              <w:rPr>
                <w:lang w:val="en-US"/>
              </w:rPr>
            </w:pPr>
            <w:r w:rsidRPr="000D35D4">
              <w:rPr>
                <w:lang w:val="en-US"/>
              </w:rPr>
              <w:t>92</w:t>
            </w:r>
          </w:p>
        </w:tc>
        <w:tc>
          <w:tcPr>
            <w:tcW w:w="1134" w:type="dxa"/>
            <w:vAlign w:val="center"/>
          </w:tcPr>
          <w:p w:rsidR="004F7AFD" w:rsidRPr="000D35D4" w:rsidRDefault="004F7AFD" w:rsidP="004F7AFD">
            <w:pPr>
              <w:jc w:val="center"/>
              <w:rPr>
                <w:lang w:val="en-US"/>
              </w:rPr>
            </w:pPr>
            <w:r w:rsidRPr="000D35D4">
              <w:rPr>
                <w:lang w:val="en-US"/>
              </w:rPr>
              <w:t>88</w:t>
            </w:r>
          </w:p>
        </w:tc>
      </w:tr>
      <w:tr w:rsidR="004F7AFD" w:rsidRPr="007F78C3" w:rsidTr="004F7AFD">
        <w:trPr>
          <w:trHeight w:val="397"/>
        </w:trPr>
        <w:tc>
          <w:tcPr>
            <w:tcW w:w="1809" w:type="dxa"/>
            <w:vMerge w:val="restart"/>
            <w:vAlign w:val="center"/>
          </w:tcPr>
          <w:p w:rsidR="004F7AFD" w:rsidRPr="000D35D4" w:rsidRDefault="004F7AFD" w:rsidP="004F7AFD">
            <w:pPr>
              <w:rPr>
                <w:lang w:val="en-US"/>
              </w:rPr>
            </w:pPr>
            <w:proofErr w:type="spellStart"/>
            <w:r w:rsidRPr="000D35D4">
              <w:rPr>
                <w:lang w:val="en-US"/>
              </w:rPr>
              <w:t>Uemura</w:t>
            </w:r>
            <w:proofErr w:type="spellEnd"/>
            <w:r w:rsidRPr="000D35D4">
              <w:rPr>
                <w:lang w:val="en-US"/>
              </w:rPr>
              <w:t xml:space="preserve"> 2014</w:t>
            </w:r>
            <w:r w:rsidRPr="000D35D4">
              <w:rPr>
                <w:lang w:val="en-US"/>
              </w:rPr>
              <w:fldChar w:fldCharType="begin" w:fldLock="1"/>
            </w:r>
            <w:r w:rsidR="00625C5F">
              <w:rPr>
                <w:lang w:val="en-US"/>
              </w:rPr>
              <w:instrText>ADDIN CSL_CITATION { "citationItems" : [ { "id" : "ITEM-1", "itemData" : { "DOI" : "10.1002/jso.23561", "PMID" : "24420007", "abstract" : "BACKGROUND The indicators for proper drain management following pancreaticoduodenectomy (PD) remain unclear. Our aim was to identify appropriate timing and proper indicators for safe drain management after PD. METHODS Prospectively collected data from 200 patients who underwent PD were evaluated. Postoperative clinical factors for clinically relevant pancreatic fistulas (CR-POPFs) and management of surgically placed drains were analyzed retrospectively. RESULTS CR-POPFs occurred in 8% of patients. By logistic regression analysis, one factor (non-serous fluid in the drain) on postoperative day (POD) 1 and two factors (non-serous fluid in the drain and serum CRP levels) on POD 3 and 4 were significantly associated with CR-POPFs. Receiver operating characteristic analysis demonstrated that combined predictive factors on POD 4 were the most accurate. Of 163 patients with serous fluid in the drain and CRP &lt;15.6\u2009mg/dl on POD 4, 1% had CR-POPFs, but no patient required POPF-related re-drainage. In contrast, among 37 patients with non-serous fluid in the drain or CRP levels \u226515.6\u2009mg/dl, 35% had CR-POPFs, and 8% required POPF-related re-drainage. CONCLUSIONS A combination of CRP levels and the color of surgical drain fluid, not POD1 or 3, but on POD 4, may be the most accurate indicators for safe drain management following PD.", "author" : [ { "dropping-particle" : "", "family" : "Uemura", "given" : "Kenichiro", "non-dropping-particle" : "", "parse-names" : false, "suffix" : "" }, { "dropping-particle" : "", "family" : "Murakami", "given" : "Yoshiaki", "non-dropping-particle" : "", "parse-names" : false, "suffix" : "" }, { "dropping-particle" : "", "family" : "Sudo", "given" : "Takeshi", "non-dropping-particle" : "", "parse-names" : false, "suffix" : "" }, { "dropping-particle" : "", "family" : "Hashimoto", "given" : "Yasushi", "non-dropping-particle" : "", "parse-names" : false, "suffix" : "" }, { "dropping-particle" : "", "family" : "Kondo", "given" : "Naru", "non-dropping-particle" : "", "parse-names" : false, "suffix" : "" }, { "dropping-particle" : "", "family" : "Nakagawa", "given" : "Naoya", "non-dropping-particle" : "", "parse-names" : false, "suffix" : "" }, { "dropping-particle" : "", "family" : "Sasaki", "given" : "Hayato", "non-dropping-particle" : "", "parse-names" : false, "suffix" : "" }, { "dropping-particle" : "", "family" : "Ohge", "given" : "Hiroki", "non-dropping-particle" : "", "parse-names" : false, "suffix" : "" }, { "dropping-particle" : "", "family" : "Sueda", "given" : "Taijiro", "non-dropping-particle" : "", "parse-names" : false, "suffix" : "" } ], "container-title" : "Journal of Surgical Oncology", "id" : "ITEM-1", "issue" : "7", "issued" : { "date-parts" : [ [ "2014", "6" ] ] }, "page" : "702-707", "title" : "Indicators for proper management of surgical drains following pancreaticoduodenectomy", "type" : "article-journal", "volume" : "109" }, "uris" : [ "http://www.mendeley.com/documents/?uuid=87c49819-d860-320e-8b01-3180c8f587af" ] } ], "mendeley" : { "formattedCitation" : "[6]", "plainTextFormattedCitation" : "[6]", "previouslyFormattedCitation" : "&lt;sup&gt;6&lt;/sup&gt;" }, "properties" : {  }, "schema" : "https://github.com/citation-style-language/schema/raw/master/csl-citation.json" }</w:instrText>
            </w:r>
            <w:r w:rsidRPr="000D35D4">
              <w:rPr>
                <w:lang w:val="en-US"/>
              </w:rPr>
              <w:fldChar w:fldCharType="separate"/>
            </w:r>
            <w:r w:rsidR="00625C5F" w:rsidRPr="00625C5F">
              <w:rPr>
                <w:noProof/>
                <w:lang w:val="en-US"/>
              </w:rPr>
              <w:t>[6]</w:t>
            </w:r>
            <w:r w:rsidRPr="000D35D4">
              <w:rPr>
                <w:lang w:val="en-US"/>
              </w:rPr>
              <w:fldChar w:fldCharType="end"/>
            </w:r>
          </w:p>
        </w:tc>
        <w:tc>
          <w:tcPr>
            <w:tcW w:w="567" w:type="dxa"/>
            <w:vMerge w:val="restart"/>
            <w:vAlign w:val="center"/>
          </w:tcPr>
          <w:p w:rsidR="004F7AFD" w:rsidRPr="000D35D4" w:rsidRDefault="004F7AFD" w:rsidP="004F7AFD">
            <w:pPr>
              <w:jc w:val="center"/>
              <w:rPr>
                <w:lang w:val="en-US"/>
              </w:rPr>
            </w:pPr>
            <w:r w:rsidRPr="000D35D4">
              <w:rPr>
                <w:lang w:val="en-US"/>
              </w:rPr>
              <w:t>200</w:t>
            </w:r>
          </w:p>
        </w:tc>
        <w:tc>
          <w:tcPr>
            <w:tcW w:w="1134" w:type="dxa"/>
            <w:vMerge w:val="restart"/>
            <w:vAlign w:val="center"/>
          </w:tcPr>
          <w:p w:rsidR="004F7AFD" w:rsidRPr="000D35D4" w:rsidRDefault="004F7AFD" w:rsidP="004F7AFD">
            <w:pPr>
              <w:jc w:val="center"/>
              <w:rPr>
                <w:lang w:val="en-US"/>
              </w:rPr>
            </w:pPr>
            <w:r w:rsidRPr="000D35D4">
              <w:rPr>
                <w:lang w:val="en-US"/>
              </w:rPr>
              <w:t>15</w:t>
            </w:r>
          </w:p>
        </w:tc>
        <w:tc>
          <w:tcPr>
            <w:tcW w:w="993" w:type="dxa"/>
            <w:vAlign w:val="center"/>
          </w:tcPr>
          <w:p w:rsidR="004F7AFD" w:rsidRPr="000D35D4" w:rsidRDefault="004F7AFD" w:rsidP="004F7AFD">
            <w:pPr>
              <w:jc w:val="center"/>
              <w:rPr>
                <w:lang w:val="en-US"/>
              </w:rPr>
            </w:pPr>
            <w:r w:rsidRPr="000D35D4">
              <w:rPr>
                <w:lang w:val="en-US"/>
              </w:rPr>
              <w:t>180</w:t>
            </w:r>
          </w:p>
        </w:tc>
        <w:tc>
          <w:tcPr>
            <w:tcW w:w="708" w:type="dxa"/>
            <w:vAlign w:val="center"/>
          </w:tcPr>
          <w:p w:rsidR="004F7AFD" w:rsidRPr="000D35D4" w:rsidRDefault="004F7AFD" w:rsidP="004F7AFD">
            <w:pPr>
              <w:jc w:val="center"/>
              <w:rPr>
                <w:lang w:val="en-US"/>
              </w:rPr>
            </w:pPr>
            <w:r w:rsidRPr="000D35D4">
              <w:rPr>
                <w:lang w:val="en-US"/>
              </w:rPr>
              <w:t>3</w:t>
            </w:r>
          </w:p>
        </w:tc>
        <w:tc>
          <w:tcPr>
            <w:tcW w:w="709" w:type="dxa"/>
            <w:vAlign w:val="center"/>
          </w:tcPr>
          <w:p w:rsidR="004F7AFD" w:rsidRPr="000D35D4" w:rsidRDefault="004F7AFD" w:rsidP="004F7AFD">
            <w:pPr>
              <w:jc w:val="center"/>
              <w:rPr>
                <w:lang w:val="en-US"/>
              </w:rPr>
            </w:pPr>
            <w:r w:rsidRPr="000D35D4">
              <w:rPr>
                <w:lang w:val="en-US"/>
              </w:rPr>
              <w:t>7</w:t>
            </w:r>
          </w:p>
        </w:tc>
        <w:tc>
          <w:tcPr>
            <w:tcW w:w="709" w:type="dxa"/>
            <w:vAlign w:val="center"/>
          </w:tcPr>
          <w:p w:rsidR="004F7AFD" w:rsidRPr="000D35D4" w:rsidRDefault="004F7AFD" w:rsidP="004F7AFD">
            <w:pPr>
              <w:jc w:val="center"/>
              <w:rPr>
                <w:lang w:val="en-US"/>
              </w:rPr>
            </w:pPr>
            <w:r w:rsidRPr="000D35D4">
              <w:rPr>
                <w:lang w:val="en-US"/>
              </w:rPr>
              <w:t>76</w:t>
            </w:r>
          </w:p>
        </w:tc>
        <w:tc>
          <w:tcPr>
            <w:tcW w:w="709" w:type="dxa"/>
            <w:vAlign w:val="center"/>
          </w:tcPr>
          <w:p w:rsidR="004F7AFD" w:rsidRPr="000D35D4" w:rsidRDefault="004F7AFD" w:rsidP="004F7AFD">
            <w:pPr>
              <w:jc w:val="center"/>
              <w:rPr>
                <w:lang w:val="en-US"/>
              </w:rPr>
            </w:pPr>
            <w:r w:rsidRPr="000D35D4">
              <w:rPr>
                <w:lang w:val="en-US"/>
              </w:rPr>
              <w:t>2</w:t>
            </w:r>
          </w:p>
        </w:tc>
        <w:tc>
          <w:tcPr>
            <w:tcW w:w="708" w:type="dxa"/>
            <w:vAlign w:val="center"/>
          </w:tcPr>
          <w:p w:rsidR="004F7AFD" w:rsidRPr="000D35D4" w:rsidRDefault="004F7AFD" w:rsidP="004F7AFD">
            <w:pPr>
              <w:jc w:val="center"/>
              <w:rPr>
                <w:lang w:val="en-US"/>
              </w:rPr>
            </w:pPr>
            <w:r w:rsidRPr="000D35D4">
              <w:rPr>
                <w:lang w:val="en-US"/>
              </w:rPr>
              <w:t>91</w:t>
            </w:r>
          </w:p>
        </w:tc>
        <w:tc>
          <w:tcPr>
            <w:tcW w:w="1134" w:type="dxa"/>
            <w:vAlign w:val="center"/>
          </w:tcPr>
          <w:p w:rsidR="004F7AFD" w:rsidRPr="000D35D4" w:rsidRDefault="004F7AFD" w:rsidP="004F7AFD">
            <w:pPr>
              <w:jc w:val="center"/>
              <w:rPr>
                <w:lang w:val="en-US"/>
              </w:rPr>
            </w:pPr>
            <w:r w:rsidRPr="000D35D4">
              <w:rPr>
                <w:lang w:val="en-US"/>
              </w:rPr>
              <w:t>71</w:t>
            </w:r>
          </w:p>
        </w:tc>
      </w:tr>
      <w:tr w:rsidR="004F7AFD" w:rsidRPr="007F78C3" w:rsidTr="004F7AFD">
        <w:trPr>
          <w:trHeight w:val="397"/>
        </w:trPr>
        <w:tc>
          <w:tcPr>
            <w:tcW w:w="1809" w:type="dxa"/>
            <w:vMerge/>
            <w:vAlign w:val="center"/>
          </w:tcPr>
          <w:p w:rsidR="004F7AFD" w:rsidRPr="000D35D4" w:rsidRDefault="004F7AFD" w:rsidP="004F7AFD">
            <w:pPr>
              <w:rPr>
                <w:lang w:val="en-US"/>
              </w:rPr>
            </w:pPr>
          </w:p>
        </w:tc>
        <w:tc>
          <w:tcPr>
            <w:tcW w:w="567" w:type="dxa"/>
            <w:vMerge/>
            <w:vAlign w:val="center"/>
          </w:tcPr>
          <w:p w:rsidR="004F7AFD" w:rsidRPr="000D35D4" w:rsidRDefault="004F7AFD" w:rsidP="004F7AFD">
            <w:pPr>
              <w:jc w:val="center"/>
              <w:rPr>
                <w:lang w:val="en-US"/>
              </w:rPr>
            </w:pPr>
          </w:p>
        </w:tc>
        <w:tc>
          <w:tcPr>
            <w:tcW w:w="1134" w:type="dxa"/>
            <w:vMerge/>
            <w:vAlign w:val="center"/>
          </w:tcPr>
          <w:p w:rsidR="004F7AFD" w:rsidRPr="000D35D4" w:rsidRDefault="004F7AFD" w:rsidP="004F7AFD">
            <w:pPr>
              <w:jc w:val="center"/>
              <w:rPr>
                <w:lang w:val="en-US"/>
              </w:rPr>
            </w:pPr>
          </w:p>
        </w:tc>
        <w:tc>
          <w:tcPr>
            <w:tcW w:w="993" w:type="dxa"/>
            <w:vAlign w:val="center"/>
          </w:tcPr>
          <w:p w:rsidR="004F7AFD" w:rsidRPr="000D35D4" w:rsidRDefault="004F7AFD" w:rsidP="004F7AFD">
            <w:pPr>
              <w:jc w:val="center"/>
              <w:rPr>
                <w:lang w:val="en-US"/>
              </w:rPr>
            </w:pPr>
            <w:r w:rsidRPr="000D35D4">
              <w:rPr>
                <w:lang w:val="en-US"/>
              </w:rPr>
              <w:t>55</w:t>
            </w:r>
          </w:p>
        </w:tc>
        <w:tc>
          <w:tcPr>
            <w:tcW w:w="708" w:type="dxa"/>
            <w:vAlign w:val="center"/>
          </w:tcPr>
          <w:p w:rsidR="004F7AFD" w:rsidRPr="000D35D4" w:rsidRDefault="004F7AFD" w:rsidP="004F7AFD">
            <w:pPr>
              <w:jc w:val="center"/>
              <w:rPr>
                <w:lang w:val="en-US"/>
              </w:rPr>
            </w:pPr>
            <w:r w:rsidRPr="000D35D4">
              <w:rPr>
                <w:lang w:val="en-US"/>
              </w:rPr>
              <w:t>4</w:t>
            </w:r>
          </w:p>
        </w:tc>
        <w:tc>
          <w:tcPr>
            <w:tcW w:w="709" w:type="dxa"/>
            <w:vAlign w:val="center"/>
          </w:tcPr>
          <w:p w:rsidR="004F7AFD" w:rsidRPr="000D35D4" w:rsidRDefault="004F7AFD" w:rsidP="004F7AFD">
            <w:pPr>
              <w:jc w:val="center"/>
              <w:rPr>
                <w:lang w:val="en-US"/>
              </w:rPr>
            </w:pPr>
            <w:r w:rsidRPr="000D35D4">
              <w:rPr>
                <w:lang w:val="en-US"/>
              </w:rPr>
              <w:t>67</w:t>
            </w:r>
          </w:p>
        </w:tc>
        <w:tc>
          <w:tcPr>
            <w:tcW w:w="709" w:type="dxa"/>
            <w:vAlign w:val="center"/>
          </w:tcPr>
          <w:p w:rsidR="004F7AFD" w:rsidRPr="000D35D4" w:rsidRDefault="004F7AFD" w:rsidP="004F7AFD">
            <w:pPr>
              <w:jc w:val="center"/>
              <w:rPr>
                <w:lang w:val="en-US"/>
              </w:rPr>
            </w:pPr>
            <w:r w:rsidRPr="000D35D4">
              <w:rPr>
                <w:lang w:val="en-US"/>
              </w:rPr>
              <w:t>75</w:t>
            </w:r>
          </w:p>
        </w:tc>
        <w:tc>
          <w:tcPr>
            <w:tcW w:w="709" w:type="dxa"/>
            <w:vAlign w:val="center"/>
          </w:tcPr>
          <w:p w:rsidR="004F7AFD" w:rsidRPr="000D35D4" w:rsidRDefault="004F7AFD" w:rsidP="004F7AFD">
            <w:pPr>
              <w:jc w:val="center"/>
              <w:rPr>
                <w:lang w:val="en-US"/>
              </w:rPr>
            </w:pPr>
            <w:r w:rsidRPr="000D35D4">
              <w:rPr>
                <w:lang w:val="en-US"/>
              </w:rPr>
              <w:t>18</w:t>
            </w:r>
          </w:p>
        </w:tc>
        <w:tc>
          <w:tcPr>
            <w:tcW w:w="708" w:type="dxa"/>
            <w:vAlign w:val="center"/>
          </w:tcPr>
          <w:p w:rsidR="004F7AFD" w:rsidRPr="000D35D4" w:rsidRDefault="004F7AFD" w:rsidP="004F7AFD">
            <w:pPr>
              <w:jc w:val="center"/>
              <w:rPr>
                <w:lang w:val="en-US"/>
              </w:rPr>
            </w:pPr>
            <w:r w:rsidRPr="000D35D4">
              <w:rPr>
                <w:lang w:val="en-US"/>
              </w:rPr>
              <w:t>97</w:t>
            </w:r>
          </w:p>
        </w:tc>
        <w:tc>
          <w:tcPr>
            <w:tcW w:w="1134" w:type="dxa"/>
            <w:vAlign w:val="center"/>
          </w:tcPr>
          <w:p w:rsidR="004F7AFD" w:rsidRPr="000D35D4" w:rsidRDefault="004F7AFD" w:rsidP="004F7AFD">
            <w:pPr>
              <w:jc w:val="center"/>
              <w:rPr>
                <w:lang w:val="en-US"/>
              </w:rPr>
            </w:pPr>
            <w:r w:rsidRPr="000D35D4">
              <w:rPr>
                <w:lang w:val="en-US"/>
              </w:rPr>
              <w:t>74</w:t>
            </w:r>
          </w:p>
        </w:tc>
      </w:tr>
      <w:tr w:rsidR="004F7AFD" w:rsidRPr="007F78C3" w:rsidTr="004F7AFD">
        <w:trPr>
          <w:trHeight w:val="340"/>
        </w:trPr>
        <w:tc>
          <w:tcPr>
            <w:tcW w:w="9180" w:type="dxa"/>
            <w:gridSpan w:val="10"/>
            <w:vAlign w:val="center"/>
          </w:tcPr>
          <w:p w:rsidR="004F7AFD" w:rsidRPr="000D35D4" w:rsidRDefault="004F7AFD" w:rsidP="004F7AFD">
            <w:pPr>
              <w:rPr>
                <w:i/>
                <w:sz w:val="20"/>
                <w:lang w:val="en-US"/>
              </w:rPr>
            </w:pPr>
            <w:r w:rsidRPr="000D35D4">
              <w:rPr>
                <w:i/>
                <w:sz w:val="20"/>
                <w:lang w:val="en-US"/>
              </w:rPr>
              <w:t xml:space="preserve">N, total number of patients included in analysis; severe PF, severe pancreatic fistula (i.e. ISGPS grade B/C); Day, postoperative day; </w:t>
            </w:r>
            <w:proofErr w:type="spellStart"/>
            <w:r w:rsidRPr="000D35D4">
              <w:rPr>
                <w:i/>
                <w:sz w:val="20"/>
                <w:lang w:val="en-US"/>
              </w:rPr>
              <w:t>sens</w:t>
            </w:r>
            <w:proofErr w:type="spellEnd"/>
            <w:r w:rsidRPr="000D35D4">
              <w:rPr>
                <w:i/>
                <w:sz w:val="20"/>
                <w:lang w:val="en-US"/>
              </w:rPr>
              <w:t xml:space="preserve">, sensitivity; spec, specificity; PPV, positive predictive value; NPV, negative </w:t>
            </w:r>
            <w:r w:rsidRPr="000D35D4">
              <w:rPr>
                <w:i/>
                <w:sz w:val="20"/>
                <w:lang w:val="en-US"/>
              </w:rPr>
              <w:lastRenderedPageBreak/>
              <w:t xml:space="preserve">predictive value; Accuracy was calculated by dividing number of correct assessments by total number of assessments. The study by </w:t>
            </w:r>
            <w:proofErr w:type="spellStart"/>
            <w:r w:rsidRPr="000D35D4">
              <w:rPr>
                <w:i/>
                <w:sz w:val="20"/>
                <w:lang w:val="en-US"/>
              </w:rPr>
              <w:t>Uemura</w:t>
            </w:r>
            <w:proofErr w:type="spellEnd"/>
            <w:r w:rsidRPr="000D35D4">
              <w:rPr>
                <w:i/>
                <w:sz w:val="20"/>
                <w:lang w:val="en-US"/>
              </w:rPr>
              <w:t xml:space="preserve"> et al. evaluated two cut off points on different postoperative days. </w:t>
            </w:r>
          </w:p>
          <w:p w:rsidR="004F7AFD" w:rsidRPr="000D35D4" w:rsidRDefault="004F7AFD" w:rsidP="004F7AFD">
            <w:pPr>
              <w:rPr>
                <w:i/>
                <w:sz w:val="20"/>
                <w:lang w:val="en-US"/>
              </w:rPr>
            </w:pPr>
            <w:r w:rsidRPr="000D35D4">
              <w:rPr>
                <w:i/>
                <w:sz w:val="20"/>
                <w:lang w:val="en-US"/>
              </w:rPr>
              <w:t xml:space="preserve">* Values in units per liter </w:t>
            </w:r>
          </w:p>
        </w:tc>
      </w:tr>
    </w:tbl>
    <w:p w:rsidR="004F7AFD" w:rsidRPr="000D35D4" w:rsidRDefault="004F7AFD" w:rsidP="004F7AFD">
      <w:pPr>
        <w:spacing w:after="0"/>
        <w:jc w:val="both"/>
        <w:rPr>
          <w:sz w:val="20"/>
          <w:lang w:val="en-US"/>
        </w:rPr>
      </w:pPr>
    </w:p>
    <w:p w:rsidR="004F7AFD" w:rsidRPr="000D35D4" w:rsidRDefault="004F7AFD" w:rsidP="004F7AFD">
      <w:pPr>
        <w:spacing w:after="0"/>
        <w:jc w:val="both"/>
        <w:rPr>
          <w:b/>
          <w:color w:val="000000"/>
          <w:lang w:val="en-US"/>
        </w:rPr>
      </w:pPr>
      <w:r w:rsidRPr="000D35D4">
        <w:rPr>
          <w:b/>
          <w:lang w:val="en-US"/>
        </w:rPr>
        <w:t xml:space="preserve">Addendum: </w:t>
      </w:r>
      <w:proofErr w:type="spellStart"/>
      <w:r>
        <w:rPr>
          <w:b/>
          <w:iCs/>
          <w:color w:val="000000"/>
          <w:lang w:val="en-US"/>
        </w:rPr>
        <w:t>h</w:t>
      </w:r>
      <w:r w:rsidRPr="000D35D4">
        <w:rPr>
          <w:b/>
          <w:iCs/>
          <w:color w:val="000000"/>
          <w:lang w:val="en-US"/>
        </w:rPr>
        <w:t>epaticojejunostomy</w:t>
      </w:r>
      <w:proofErr w:type="spellEnd"/>
      <w:r w:rsidRPr="000D35D4">
        <w:rPr>
          <w:b/>
          <w:iCs/>
          <w:color w:val="000000"/>
          <w:lang w:val="en-US"/>
        </w:rPr>
        <w:t xml:space="preserve"> leakage</w:t>
      </w:r>
    </w:p>
    <w:p w:rsidR="004F7AFD" w:rsidRPr="000D35D4" w:rsidRDefault="004F7AFD" w:rsidP="004F7AFD">
      <w:pPr>
        <w:spacing w:after="0"/>
        <w:jc w:val="both"/>
        <w:rPr>
          <w:color w:val="000000"/>
          <w:lang w:val="en-US"/>
        </w:rPr>
      </w:pPr>
      <w:r w:rsidRPr="000D35D4">
        <w:rPr>
          <w:color w:val="000000"/>
          <w:lang w:val="en-GB"/>
        </w:rPr>
        <w:t xml:space="preserve">In case of early </w:t>
      </w:r>
      <w:proofErr w:type="spellStart"/>
      <w:r w:rsidRPr="000D35D4">
        <w:rPr>
          <w:color w:val="000000"/>
          <w:lang w:val="en-GB"/>
        </w:rPr>
        <w:t>hepaticojejunostomy</w:t>
      </w:r>
      <w:proofErr w:type="spellEnd"/>
      <w:r w:rsidRPr="000D35D4">
        <w:rPr>
          <w:color w:val="000000"/>
          <w:lang w:val="en-GB"/>
        </w:rPr>
        <w:t xml:space="preserve"> leakage (i.e. visual bile leakage through abdominal catheter within 24 hours after surgery) primary </w:t>
      </w:r>
      <w:proofErr w:type="spellStart"/>
      <w:r w:rsidRPr="000D35D4">
        <w:rPr>
          <w:color w:val="000000"/>
          <w:lang w:val="en-GB"/>
        </w:rPr>
        <w:t>relaparotomy</w:t>
      </w:r>
      <w:proofErr w:type="spellEnd"/>
      <w:r w:rsidRPr="000D35D4">
        <w:rPr>
          <w:color w:val="000000"/>
          <w:lang w:val="en-GB"/>
        </w:rPr>
        <w:t xml:space="preserve"> with revision of </w:t>
      </w:r>
      <w:proofErr w:type="spellStart"/>
      <w:r w:rsidRPr="000D35D4">
        <w:rPr>
          <w:color w:val="000000"/>
          <w:lang w:val="en-GB"/>
        </w:rPr>
        <w:t>hepaticojejunostomy</w:t>
      </w:r>
      <w:proofErr w:type="spellEnd"/>
      <w:r w:rsidRPr="000D35D4">
        <w:rPr>
          <w:color w:val="000000"/>
          <w:lang w:val="en-GB"/>
        </w:rPr>
        <w:t xml:space="preserve"> should be considered. Clinically persisting </w:t>
      </w:r>
      <w:proofErr w:type="spellStart"/>
      <w:r w:rsidRPr="000D35D4">
        <w:rPr>
          <w:color w:val="000000"/>
          <w:lang w:val="en-GB"/>
        </w:rPr>
        <w:t>hepaticojejunostomy</w:t>
      </w:r>
      <w:proofErr w:type="spellEnd"/>
      <w:r w:rsidRPr="000D35D4">
        <w:rPr>
          <w:color w:val="000000"/>
          <w:lang w:val="en-GB"/>
        </w:rPr>
        <w:t xml:space="preserve"> leakage occurring be managed through percutaneous drainage. This can either be through percutaneous drainage of abdominal fluid or through </w:t>
      </w:r>
      <w:r w:rsidRPr="000D35D4">
        <w:rPr>
          <w:color w:val="000000"/>
          <w:lang w:val="en-US"/>
        </w:rPr>
        <w:t xml:space="preserve">percutaneous </w:t>
      </w:r>
      <w:proofErr w:type="spellStart"/>
      <w:r w:rsidRPr="000D35D4">
        <w:rPr>
          <w:color w:val="000000"/>
          <w:lang w:val="en-US"/>
        </w:rPr>
        <w:t>transhepatic</w:t>
      </w:r>
      <w:proofErr w:type="spellEnd"/>
      <w:r w:rsidRPr="000D35D4">
        <w:rPr>
          <w:color w:val="000000"/>
          <w:lang w:val="en-US"/>
        </w:rPr>
        <w:t xml:space="preserve"> cholangiography and drainage (PTCD) to drain both the intrahepatic biliary ducts and the </w:t>
      </w:r>
      <w:proofErr w:type="spellStart"/>
      <w:r w:rsidRPr="000D35D4">
        <w:rPr>
          <w:color w:val="000000"/>
          <w:lang w:val="en-US"/>
        </w:rPr>
        <w:t>jejunal</w:t>
      </w:r>
      <w:proofErr w:type="spellEnd"/>
      <w:r w:rsidRPr="000D35D4">
        <w:rPr>
          <w:color w:val="000000"/>
          <w:lang w:val="en-US"/>
        </w:rPr>
        <w:t xml:space="preserve"> loop close to the  anastomoses. The expert panel is available to provide advice on indication and feasibility of PTCD. </w:t>
      </w:r>
      <w:r w:rsidRPr="000D35D4">
        <w:rPr>
          <w:color w:val="000000"/>
          <w:lang w:val="en-GB"/>
        </w:rPr>
        <w:t xml:space="preserve">Surgical intervention through </w:t>
      </w:r>
      <w:proofErr w:type="spellStart"/>
      <w:r w:rsidRPr="000D35D4">
        <w:rPr>
          <w:color w:val="000000"/>
          <w:lang w:val="en-GB"/>
        </w:rPr>
        <w:t>relaparotomy</w:t>
      </w:r>
      <w:proofErr w:type="spellEnd"/>
      <w:r w:rsidRPr="000D35D4">
        <w:rPr>
          <w:color w:val="000000"/>
          <w:lang w:val="en-GB"/>
        </w:rPr>
        <w:t xml:space="preserve"> for </w:t>
      </w:r>
      <w:proofErr w:type="spellStart"/>
      <w:r w:rsidRPr="000D35D4">
        <w:rPr>
          <w:color w:val="000000"/>
          <w:lang w:val="en-GB"/>
        </w:rPr>
        <w:t>hepaticojejunostomy</w:t>
      </w:r>
      <w:proofErr w:type="spellEnd"/>
      <w:r w:rsidRPr="000D35D4">
        <w:rPr>
          <w:color w:val="000000"/>
          <w:lang w:val="en-GB"/>
        </w:rPr>
        <w:t xml:space="preserve"> leak any time 24 hours after index surgery is only indicated when the patient remains critically ill with radiologic optimal drainage</w:t>
      </w:r>
      <w:r w:rsidRPr="000D35D4">
        <w:rPr>
          <w:color w:val="000000"/>
          <w:lang w:val="en-GB"/>
        </w:rPr>
        <w:fldChar w:fldCharType="begin" w:fldLock="1"/>
      </w:r>
      <w:r w:rsidR="00625C5F">
        <w:rPr>
          <w:color w:val="000000"/>
          <w:lang w:val="en-GB"/>
        </w:rPr>
        <w:instrText>ADDIN CSL_CITATION { "citationItems" : [ { "id" : "ITEM-1", "itemData" : { "DOI" : "10.1016/j.surg.2010.12.002", "ISSN" : "1532-7361", "PMID" : "21316725", "abstract" : "BACKGROUND: Despite the potentially severe impact of bile leakage on patients' perioperative and long-term outcome, a commonly used definition of this complication after hepatobiliary and pancreatic operations has not yet been established. The aim of the present article is to propose a uniform definition and severity grading of bile leakage after hepatobiliary and pancreatic operative therapy.\n\nMETHODS: An international study group of hepatobiliary and pancreatic surgeons was convened. A consensus definition of bile leakage after hepatobiliary and pancreatic operative therapy was developed based on the postoperative course of bilirubin concentrations in patients' serum and drain fluid.\n\nRESULTS: After evaluation of the postoperative course of bilirubin levels in the drain fluid of patients who underwent hepatobiliary and pancreatic operations, bile leakage was defined as bilirubin concentration in the drain fluid at least 3 times the serum bilirubin concentration on or after postoperative day 3 or as the need for radiologic or operative intervention resulting from biliary collections or bile peritonitis. Using this criterion severity of bile leakage was classified according to its impact on patients' clinical management. Grade A bile leakage causes no change in patients' clinical management. A Grade B bile leakage requires active therapeutic intervention but is manageable without relaparotomy, whereas in Grade C, bile leakage relaparotomy is required.\n\nCONCLUSION: We propose a simple definition and severity grading of bile leakage after hepatobiliary and pancreatic operative therapy. The application of the present proposal will enable a standardized comparison of the results of different clinical trials and may facilitate an objective evaluation of diagnostic and therapeutic modalities in the field of hepatobiliary and pancreatic operative therapy.", "author" : [ { "dropping-particle" : "", "family" : "Koch", "given" : "Moritz", "non-dropping-particle" : "", "parse-names" : false, "suffix" : "" }, { "dropping-particle" : "", "family" : "Garden", "given" : "O James", "non-dropping-particle" : "", "parse-names" : false, "suffix" : "" }, { "dropping-particle" : "", "family" : "Padbury", "given" : "Robert", "non-dropping-particle" : "", "parse-names" : false, "suffix" : "" }, { "dropping-particle" : "", "family" : "Rahbari", "given" : "Nuh N", "non-dropping-particle" : "", "parse-names" : false, "suffix" : "" }, { "dropping-particle" : "", "family" : "Adam", "given" : "Rene", "non-dropping-particle" : "", "parse-names" : false, "suffix" : "" }, { "dropping-particle" : "", "family" : "Capussotti", "given" : "Lorenzo", "non-dropping-particle" : "", "parse-names" : false, "suffix" : "" }, { "dropping-particle" : "", "family" : "Fan", "given" : "Sheung Tat", "non-dropping-particle" : "", "parse-names" : false, "suffix" : "" }, { "dropping-particle" : "", "family" : "Yokoyama", "given" : "Yukihiro", "non-dropping-particle" : "", "parse-names" : false, "suffix" : "" }, { "dropping-particle" : "", "family" : "Crawford", "given" : "Michael", "non-dropping-particle" : "", "parse-names" : false, "suffix" : "" }, { "dropping-particle" : "", "family" : "Makuuchi", "given" : "Masatoshi", "non-dropping-particle" : "", "parse-names" : false, "suffix" : "" }, { "dropping-particle" : "", "family" : "Christophi", "given" : "Christopher", "non-dropping-particle" : "", "parse-names" : false, "suffix" : "" }, { "dropping-particle" : "", "family" : "Banting", "given" : "Simon", "non-dropping-particle" : "", "parse-names" : false, "suffix" : "" }, { "dropping-particle" : "", "family" : "Brooke-Smith", "given" : "Mark", "non-dropping-particle" : "", "parse-names" : false, "suffix" : "" }, { "dropping-particle" : "", "family" : "Usatoff", "given" : "Val", "non-dropping-particle" : "", "parse-names" : false, "suffix" : "" }, { "dropping-particle" : "", "family" : "Nagino", "given" : "Masato", "non-dropping-particle" : "", "parse-names" : false, "suffix" : "" }, { "dropping-particle" : "", "family" : "Maddern", "given" : "Guy", "non-dropping-particle" : "", "parse-names" : false, "suffix" : "" }, { "dropping-particle" : "", "family" : "Hugh", "given" : "Thomas J", "non-dropping-particle" : "", "parse-names" : false, "suffix" : "" }, { "dropping-particle" : "", "family" : "Vauthey", "given" : "Jean-Nicolas", "non-dropping-particle" : "", "parse-names" : false, "suffix" : "" }, { "dropping-particle" : "", "family" : "Greig", "given" : "Paul", "non-dropping-particle" : "", "parse-names" : false, "suffix" : "" }, { "dropping-particle" : "", "family" : "Rees", "given" : "Myrddin", "non-dropping-particle" : "", "parse-names" : false, "suffix" : "" }, { "dropping-particle" : "", "family" : "Nimura", "given" : "Yuji", "non-dropping-particle" : "", "parse-names" : false, "suffix" : "" }, { "dropping-particle" : "", "family" : "Figueras", "given" : "Joan", "non-dropping-particle" : "", "parse-names" : false, "suffix" : "" }, { "dropping-particle" : "", "family" : "DeMatteo", "given" : "Ronald P", "non-dropping-particle" : "", "parse-names" : false, "suffix" : "" }, { "dropping-particle" : "", "family" : "B\u00fcchler", "given" : "Markus W", "non-dropping-particle" : "", "parse-names" : false, "suffix" : "" }, { "dropping-particle" : "", "family" : "Weitz", "given" : "J\u00fcrgen", "non-dropping-particle" : "", "parse-names" : false, "suffix" : "" } ], "container-title" : "Surgery", "id" : "ITEM-1", "issue" : "5", "issued" : { "date-parts" : [ [ "2011", "5" ] ] }, "page" : "680-8", "title" : "Bile leakage after hepatobiliary and pancreatic surgery: a definition and grading of severity by the International Study Group of Liver Surgery.", "type" : "article-journal", "volume" : "149" }, "uris" : [ "http://www.mendeley.com/documents/?uuid=f84f9b87-d8e1-4e1d-8191-237b5f901227" ] } ], "mendeley" : { "formattedCitation" : "[33]", "plainTextFormattedCitation" : "[33]", "previouslyFormattedCitation" : "&lt;sup&gt;33&lt;/sup&gt;" }, "properties" : {  }, "schema" : "https://github.com/citation-style-language/schema/raw/master/csl-citation.json" }</w:instrText>
      </w:r>
      <w:r w:rsidRPr="000D35D4">
        <w:rPr>
          <w:color w:val="000000"/>
          <w:lang w:val="en-GB"/>
        </w:rPr>
        <w:fldChar w:fldCharType="separate"/>
      </w:r>
      <w:r w:rsidR="00625C5F" w:rsidRPr="00625C5F">
        <w:rPr>
          <w:noProof/>
          <w:color w:val="000000"/>
          <w:lang w:val="en-GB"/>
        </w:rPr>
        <w:t>[33]</w:t>
      </w:r>
      <w:r w:rsidRPr="000D35D4">
        <w:rPr>
          <w:color w:val="000000"/>
          <w:lang w:val="en-GB"/>
        </w:rPr>
        <w:fldChar w:fldCharType="end"/>
      </w:r>
      <w:r w:rsidRPr="000D35D4">
        <w:rPr>
          <w:color w:val="000000"/>
          <w:lang w:val="en-GB"/>
        </w:rPr>
        <w:t xml:space="preserve">. </w:t>
      </w:r>
    </w:p>
    <w:p w:rsidR="004F7AFD" w:rsidRPr="000D35D4" w:rsidRDefault="004F7AFD" w:rsidP="004F7AFD">
      <w:pPr>
        <w:spacing w:after="0"/>
        <w:jc w:val="both"/>
        <w:rPr>
          <w:color w:val="000000"/>
          <w:lang w:val="en-US"/>
        </w:rPr>
      </w:pPr>
      <w:r w:rsidRPr="000D35D4">
        <w:rPr>
          <w:color w:val="000000"/>
          <w:lang w:val="en-US"/>
        </w:rPr>
        <w:t> </w:t>
      </w:r>
    </w:p>
    <w:p w:rsidR="004F7AFD" w:rsidRPr="000D35D4" w:rsidRDefault="004F7AFD" w:rsidP="004F7AFD">
      <w:pPr>
        <w:spacing w:after="0"/>
        <w:jc w:val="both"/>
        <w:rPr>
          <w:b/>
          <w:color w:val="000000"/>
          <w:lang w:val="en-US"/>
        </w:rPr>
      </w:pPr>
      <w:r w:rsidRPr="000D35D4">
        <w:rPr>
          <w:b/>
          <w:iCs/>
          <w:color w:val="000000"/>
          <w:lang w:val="en-US"/>
        </w:rPr>
        <w:t xml:space="preserve">Addendum: </w:t>
      </w:r>
      <w:proofErr w:type="spellStart"/>
      <w:r w:rsidRPr="000D35D4">
        <w:rPr>
          <w:b/>
          <w:iCs/>
          <w:color w:val="000000"/>
          <w:lang w:val="en-US"/>
        </w:rPr>
        <w:t>postpancreatectomy</w:t>
      </w:r>
      <w:proofErr w:type="spellEnd"/>
      <w:r w:rsidRPr="000D35D4">
        <w:rPr>
          <w:b/>
          <w:iCs/>
          <w:color w:val="000000"/>
          <w:lang w:val="en-US"/>
        </w:rPr>
        <w:t xml:space="preserve"> bleeding</w:t>
      </w:r>
    </w:p>
    <w:p w:rsidR="004F7AFD" w:rsidRPr="000D35D4" w:rsidRDefault="004F7AFD" w:rsidP="004F7AFD">
      <w:pPr>
        <w:spacing w:after="0"/>
        <w:jc w:val="both"/>
        <w:rPr>
          <w:lang w:val="en-GB"/>
        </w:rPr>
      </w:pPr>
      <w:r w:rsidRPr="000D35D4">
        <w:rPr>
          <w:color w:val="000000"/>
          <w:lang w:val="en-GB"/>
        </w:rPr>
        <w:t xml:space="preserve">When the clinical suspicion of </w:t>
      </w:r>
      <w:proofErr w:type="spellStart"/>
      <w:r w:rsidRPr="000D35D4">
        <w:rPr>
          <w:color w:val="000000"/>
          <w:lang w:val="en-GB"/>
        </w:rPr>
        <w:t>postpancreatectomy</w:t>
      </w:r>
      <w:proofErr w:type="spellEnd"/>
      <w:r w:rsidRPr="000D35D4">
        <w:rPr>
          <w:color w:val="000000"/>
          <w:lang w:val="en-GB"/>
        </w:rPr>
        <w:t xml:space="preserve"> bleeding rises (i.e. fresh blood in abdominal catheter or nasogastric tube, drop haemoglobin or otherwise suspicion of abdominal bleeding), a diagnostic CT-angiography should be performed. If the source of the bleeding (i.e. contrast extravasation or pseudo-aneurysm) is visualized on CT, selective angiography should be performed with possible stent-graft placement or coiling. If no source of bleeding is seen on CT, but the clinical suspicion of haemorrhage remains, a subsequent selective diagnostic angiography of the coeliac axis and superior mesenteric artery should be considered. Surgical intervention is only indicated in the early postoperative phase (&lt;24h after index resection; left to the surgeons discretion) or if the patient remains haemodynamically unstable with no (further) angiographic options to control the bleeding</w:t>
      </w:r>
      <w:r w:rsidRPr="000D35D4">
        <w:rPr>
          <w:lang w:val="en-GB"/>
        </w:rPr>
        <w:fldChar w:fldCharType="begin" w:fldLock="1"/>
      </w:r>
      <w:r w:rsidR="00625C5F">
        <w:rPr>
          <w:lang w:val="en-GB"/>
        </w:rPr>
        <w:instrText>ADDIN CSL_CITATION { "citationItems" : [ { "id" : "ITEM-1", "itemData" : { "DOI" : "10.1016/j.suc.2016.07.013", "ISSN" : "00396109", "author" : [ { "dropping-particle" : "", "family" : "Malleo", "given" : "Giuseppe", "non-dropping-particle" : "", "parse-names" : false, "suffix" : "" }, { "dropping-particle" : "", "family" : "Vollmer", "given" : "Charles M.", "non-dropping-particle" : "", "parse-names" : false, "suffix" : "" } ], "container-title" : "Surgical Clinics of North America", "id" : "ITEM-1", "issue" : "6", "issued" : { "date-parts" : [ [ "2016" ] ] }, "page" : "1313-1336", "publisher" : "Elsevier Inc", "title" : "Postpancreatectomy Complications and Management", "type" : "article-journal", "volume" : "96" }, "uris" : [ "http://www.mendeley.com/documents/?uuid=63866aee-e8ba-45de-a7d3-80382dace14c" ] } ], "mendeley" : { "formattedCitation" : "[34]", "plainTextFormattedCitation" : "[34]", "previouslyFormattedCitation" : "&lt;sup&gt;34&lt;/sup&gt;" }, "properties" : {  }, "schema" : "https://github.com/citation-style-language/schema/raw/master/csl-citation.json" }</w:instrText>
      </w:r>
      <w:r w:rsidRPr="000D35D4">
        <w:rPr>
          <w:lang w:val="en-GB"/>
        </w:rPr>
        <w:fldChar w:fldCharType="separate"/>
      </w:r>
      <w:r w:rsidR="00625C5F" w:rsidRPr="00625C5F">
        <w:rPr>
          <w:noProof/>
          <w:lang w:val="en-GB"/>
        </w:rPr>
        <w:t>[34]</w:t>
      </w:r>
      <w:r w:rsidRPr="000D35D4">
        <w:rPr>
          <w:lang w:val="en-US"/>
        </w:rPr>
        <w:fldChar w:fldCharType="end"/>
      </w:r>
      <w:r w:rsidRPr="000D35D4">
        <w:rPr>
          <w:lang w:val="en-US"/>
        </w:rPr>
        <w:t>.</w:t>
      </w:r>
      <w:r w:rsidRPr="000D35D4">
        <w:rPr>
          <w:lang w:val="en-GB"/>
        </w:rPr>
        <w:t xml:space="preserve"> </w:t>
      </w:r>
    </w:p>
    <w:p w:rsidR="004F7AFD" w:rsidRPr="000D35D4" w:rsidRDefault="004F7AFD" w:rsidP="004F7AFD">
      <w:pPr>
        <w:spacing w:after="0"/>
        <w:jc w:val="both"/>
        <w:rPr>
          <w:i/>
          <w:lang w:val="en-US"/>
        </w:rPr>
      </w:pPr>
    </w:p>
    <w:p w:rsidR="004F7AFD" w:rsidRPr="000D35D4" w:rsidRDefault="004F7AFD" w:rsidP="004F7AFD">
      <w:pPr>
        <w:spacing w:after="0"/>
        <w:jc w:val="both"/>
        <w:rPr>
          <w:b/>
          <w:lang w:val="en-US"/>
        </w:rPr>
      </w:pPr>
      <w:r w:rsidRPr="000D35D4">
        <w:rPr>
          <w:b/>
          <w:lang w:val="en-US"/>
        </w:rPr>
        <w:t>Addendum: organ failure</w:t>
      </w:r>
    </w:p>
    <w:p w:rsidR="004F7AFD" w:rsidRPr="000D35D4" w:rsidRDefault="004F7AFD" w:rsidP="004F7AFD">
      <w:pPr>
        <w:jc w:val="both"/>
        <w:rPr>
          <w:color w:val="000000"/>
          <w:lang w:val="en-US"/>
        </w:rPr>
      </w:pPr>
      <w:r w:rsidRPr="000D35D4">
        <w:rPr>
          <w:color w:val="000000"/>
          <w:lang w:val="en-GB"/>
        </w:rPr>
        <w:t>In case of new-onset (multi-)organ failure patients should be admitted to the intensive care unit (ICU). Carefully monitoring these patients and supporting the failing organs is then indicated. Patients who deteriorate with clinical signs of infection require cultures of blood, urine, sputum, ascites and frequent diagnostic imaging (e.g. chest X-rays amongst others). Once an infectious focus is determined, targeted antibiotics should be given or, in case of no positive culture and persisted deterioration, broad spectrum antibiotics with optimal penetration must be started</w:t>
      </w:r>
      <w:r w:rsidRPr="000D35D4">
        <w:rPr>
          <w:color w:val="000000"/>
          <w:lang w:val="en-GB"/>
        </w:rPr>
        <w:fldChar w:fldCharType="begin" w:fldLock="1"/>
      </w:r>
      <w:r w:rsidR="00625C5F">
        <w:rPr>
          <w:color w:val="000000"/>
          <w:lang w:val="en-GB"/>
        </w:rPr>
        <w:instrText>ADDIN CSL_CITATION { "citationItems" : [ { "id" : "ITEM-1", "itemData" : { "DOI" : "10.1001/archsurg.2011.85", "PMID" : "21576614", "abstract" : "HYPOTHESIS We reviewed our experience with secondary pancreatic infections with a focus on preemptive intervention and the potential alteration of the recovered microbial flora. The pathogens associated with postoperative pancreatic infections were analyzed with respect to nonenteric organisms, if any, that were recovered. We hypothesized that our findings might alter the antimicrobial management of these patients. DESIGN Retrospective review. SETTING Hospitals affiliated with the University of Tennessee Health Science Center, Memphis. PATIENTS Patients developing secondary and postoperative pancreatic infections following severe acute pancreatitis. METHODS Factors examined relative to secondary pancreatitis included preoperative antibiotic use and antecedent extrapancreatic infections potentially implicated in seeding the pancreatic bed. Patients who had elective resection received 24 to 48 hours of antibiotic prophylaxis. RESULTS Twenty-two patients required surgery for secondary infections following severe acute pancreatitis, with 29 pathogenic isolates being recovered. Of these 22 patients, 14 received vancomycin hydrochloride prior to surgical intervention. Of those 14 patients, 6 had isolates recovered at the time of surgery that were positive for Enterococcus faecalis and 5 of these isolates were vancomycin resistant. Eight of the 22 patients received antifungal prophylaxis with no fungi recovered from intraoperative culture. However, 2 of the 14 patients who did not receive empiric therapy had isolates that were positive for fungi. Five patients who required an urgent operation for sepsis had pathogenic isolates that were similar to those recovered from central lines. Postoperative infections occurred in 40 of 225 patients (17.8%) who had an elective pancreatic resection, with 72 pathogenic isolates being recovered. Of these 40 patients, 22 (55.0%) had polymicrobial infections. Of the 72 pathogenic isolates recovered from patients, 34 (47.2%) were gram-positive organisms, 15 (20.8%) were fungal organisms, and 17 (23.6%) were drug-resistant bacteria. CONCLUSIONS Prolonged vancomycin use in patients with severe acute pancreatitis is associated with the acquisition of vancomycin-resistant enterococci. Empiric antifungal therapy may reduce the incidence of secondary fungal pancreatic infections. Systemic bloodstream infections at extrapancreatic sites can lead to seeding of pancreatic pseudocysts. Postoperative infections frequently include gram-pos\u2026", "author" : [ { "dropping-particle" : "", "family" : "Behrman", "given" : "Stephen W.", "non-dropping-particle" : "", "parse-names" : false, "suffix" : "" }, { "dropping-particle" : "", "family" : "Bahr", "given" : "Michael H", "non-dropping-particle" : "", "parse-names" : false, "suffix" : "" }, { "dropping-particle" : "V", "family" : "Dickson", "given" : "Paxton", "non-dropping-particle" : "", "parse-names" : false, "suffix" : "" }, { "dropping-particle" : "", "family" : "Zarzaur", "given" : "Ben L", "non-dropping-particle" : "", "parse-names" : false, "suffix" : "" } ], "container-title" : "Archives of Surgery", "id" : "ITEM-1", "issue" : "5", "issued" : { "date-parts" : [ [ "2011", "5", "1" ] ] }, "page" : "613", "title" : "The Microbiology of Secondary and Postoperative Pancreatic Infections", "type" : "article-journal", "volume" : "146" }, "uris" : [ "http://www.mendeley.com/documents/?uuid=8c704a8b-c540-37b6-b26c-d571dd68b239" ] } ], "mendeley" : { "formattedCitation" : "[25]", "plainTextFormattedCitation" : "[25]", "previouslyFormattedCitation" : "&lt;sup&gt;25&lt;/sup&gt;" }, "properties" : {  }, "schema" : "https://github.com/citation-style-language/schema/raw/master/csl-citation.json" }</w:instrText>
      </w:r>
      <w:r w:rsidRPr="000D35D4">
        <w:rPr>
          <w:color w:val="000000"/>
          <w:lang w:val="en-GB"/>
        </w:rPr>
        <w:fldChar w:fldCharType="separate"/>
      </w:r>
      <w:r w:rsidR="00625C5F" w:rsidRPr="00625C5F">
        <w:rPr>
          <w:noProof/>
          <w:color w:val="000000"/>
          <w:lang w:val="en-GB"/>
        </w:rPr>
        <w:t>[25]</w:t>
      </w:r>
      <w:r w:rsidRPr="000D35D4">
        <w:rPr>
          <w:color w:val="000000"/>
          <w:lang w:val="en-GB"/>
        </w:rPr>
        <w:fldChar w:fldCharType="end"/>
      </w:r>
      <w:r w:rsidRPr="000D35D4">
        <w:rPr>
          <w:color w:val="000000"/>
          <w:lang w:val="en-GB"/>
        </w:rPr>
        <w:t xml:space="preserve">. </w:t>
      </w:r>
    </w:p>
    <w:p w:rsidR="004F7AFD" w:rsidRPr="000D35D4" w:rsidRDefault="004F7AFD" w:rsidP="004F7AFD">
      <w:pPr>
        <w:spacing w:after="0"/>
        <w:jc w:val="both"/>
        <w:rPr>
          <w:lang w:val="en-US"/>
        </w:rPr>
      </w:pPr>
    </w:p>
    <w:p w:rsidR="004F7AFD" w:rsidRPr="000D35D4" w:rsidRDefault="004F7AFD" w:rsidP="004F7AFD">
      <w:pPr>
        <w:tabs>
          <w:tab w:val="left" w:pos="0"/>
        </w:tabs>
        <w:spacing w:after="120" w:line="360" w:lineRule="auto"/>
        <w:outlineLvl w:val="3"/>
        <w:rPr>
          <w:rFonts w:eastAsia="Times New Roman" w:cs="Arial"/>
          <w:b/>
          <w:bCs/>
          <w:kern w:val="28"/>
          <w:sz w:val="32"/>
          <w:szCs w:val="32"/>
          <w:lang w:val="en-US" w:eastAsia="nl-NL"/>
        </w:rPr>
        <w:sectPr w:rsidR="004F7AFD" w:rsidRPr="000D35D4">
          <w:pgSz w:w="11906" w:h="16838"/>
          <w:pgMar w:top="1417" w:right="1417" w:bottom="1417" w:left="1417" w:header="708" w:footer="708" w:gutter="0"/>
          <w:cols w:space="708"/>
          <w:docGrid w:linePitch="360"/>
        </w:sectPr>
      </w:pPr>
    </w:p>
    <w:p w:rsidR="00625C5F" w:rsidRPr="00625C5F" w:rsidRDefault="00625C5F" w:rsidP="00625C5F">
      <w:pPr>
        <w:widowControl w:val="0"/>
        <w:autoSpaceDE w:val="0"/>
        <w:autoSpaceDN w:val="0"/>
        <w:adjustRightInd w:val="0"/>
        <w:spacing w:line="240" w:lineRule="auto"/>
        <w:rPr>
          <w:b/>
          <w:lang w:val="en-US"/>
        </w:rPr>
      </w:pPr>
      <w:r w:rsidRPr="00625C5F">
        <w:rPr>
          <w:b/>
          <w:lang w:val="en-US"/>
        </w:rPr>
        <w:lastRenderedPageBreak/>
        <w:t>REFERENCES</w:t>
      </w:r>
    </w:p>
    <w:p w:rsidR="00625C5F" w:rsidRPr="00625C5F" w:rsidRDefault="004F7AFD" w:rsidP="00625C5F">
      <w:pPr>
        <w:widowControl w:val="0"/>
        <w:autoSpaceDE w:val="0"/>
        <w:autoSpaceDN w:val="0"/>
        <w:adjustRightInd w:val="0"/>
        <w:spacing w:line="240" w:lineRule="auto"/>
        <w:rPr>
          <w:rFonts w:ascii="Calibri" w:hAnsi="Calibri" w:cs="Times New Roman"/>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00625C5F" w:rsidRPr="00625C5F">
        <w:rPr>
          <w:rFonts w:ascii="Calibri" w:hAnsi="Calibri" w:cs="Times New Roman"/>
          <w:noProof/>
          <w:szCs w:val="24"/>
        </w:rPr>
        <w:t>1. Smits FJ, Mole</w:t>
      </w:r>
      <w:bookmarkStart w:id="0" w:name="_GoBack"/>
      <w:bookmarkEnd w:id="0"/>
      <w:r w:rsidR="00625C5F" w:rsidRPr="00625C5F">
        <w:rPr>
          <w:rFonts w:ascii="Calibri" w:hAnsi="Calibri" w:cs="Times New Roman"/>
          <w:noProof/>
          <w:szCs w:val="24"/>
        </w:rPr>
        <w:t xml:space="preserve">naar IQ, Besselink MG, Borel Rinkes IHM, van Eijck CHJ, Busch OR, et al. Early recognition of clinically relevant postoperative pancreatic fistula: a systematic review. HPB (Oxford). Elsevier; 2019;0.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 Bassi C, Marchegiani G, Dervenis C, Sarr M. The 2016 update of the International Study Group ( ISGPS ) definition and grading of postoperative pancreatic fistula : 11 Years After. Elsevier Inc.; 2016;1–8.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3. Biffl WL, Moore EE, Moore FA, Peterson VM. Interleukin-6 in the injured patient. Marker of injury or mediator of inflammation? Ann Surg. 1996;224:647–64.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4. Noji T, Nakamura T, Ambo Y, Suzuki O, Nakamura F, Kishida A, et al. Clinically relevant pancreas-related infectious complication after pancreaticoenteral anastomosis could be predicted by the parameters obtained on postoperative day 3. Pancreas. 2012;41:916–21.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5. Moskovic DJ, Hodges SE, Wu M-F, Brunicardi FC, Hilsenbeck SG, Fisher WE. Drain data to predict clinically relevant pancreatic fistula. HPB [Internet]. 2010 [cited 2017 Apr 14];12:472–81. Available from: http://doi.wiley.com/10.1111/j.1477-2574.2010.00212.x</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6. Uemura K, Murakami Y, Sudo T, Hashimoto Y, Kondo N, Nakagawa N, et al. Indicators for proper management of surgical drains following pancreaticoduodenectomy. J Surg Oncol. 2014;109:702–7.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7. Giardino A, Spolverato G, Regi P, Frigerio I, Scopelliti F, Girelli R, et al. C-Reactive Protein and Procalcitonin as Predictors of Postoperative Inflammatory Complications After Pancreatic Surgery. J Gastrointest Surg. 2016;20:1482–92.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8. Kosaka H, Kuroda N, Suzumura K, Asano Y, Okada T, Fujimoto J. Multivariate logistic regression analysis for prediction of clinically relevant pancreatic fistula in the early phase after pancreaticoduodenectomy. J Hepatobiliary Pancreat Sci [Internet]. 2014 [cited 2017 Apr 14];21:128–33. Available from: http://www.ncbi.nlm.nih.gov/pubmed/23804410</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9. Fujiwara Y, Shiba H, Shirai Y, Iwase R, Haruki K, Furukawa K, et al. Perioperative serum albumin correlates with postoperative pancreatic fistula after pancreaticoduodenectomy. Anticancer Res. 2015;35:499–503.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10. Furukawa K, Gocho T, Shirai Y, Iwase R, Haruki K, Fujiwara Y, et al. The Decline of Amylase Level of Pancreatic Juice After Pancreaticoduodenectomy Predicts Postoperative Pancreatic Fistula. Pancreas. 2016;45:1474–7.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11. Palani Velu LK, Chandrabalan V V., Jabbar S, McMillan DC, McKay CJ, Carter CR, et al. Serum amylase on the night of surgery predicts clinically significant pancreatic fistula after pancreaticoduodenectomy. HPB [Internet]. 2014;16:610–9. Available from: http://www.ncbi.nlm.nih.gov/pubmed/24246024</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12. Ansorge C, Nordin JZ, Lundell L, Strömmer L, Rangelova E, Blomberg J, et al. Diagnostic value of abdominal drainage in individual risk assessment of pancreatic fistula following pancreaticoduodenectomy. Br J Surg. 2014;101:100–8.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13. Solaini - inflammatory markers in early detection of postoperative inflammatory complications - Int J Surg 2015.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14. Solaini L, Atmaja BT, Watt J, Arumugam P, Hutchins RR, Abraham AT, et al. Limited utility of inflammatory markers in the early detection of postoperative inflammatory complications after </w:t>
      </w:r>
      <w:r w:rsidRPr="00625C5F">
        <w:rPr>
          <w:rFonts w:ascii="Calibri" w:hAnsi="Calibri" w:cs="Times New Roman"/>
          <w:noProof/>
          <w:szCs w:val="24"/>
        </w:rPr>
        <w:lastRenderedPageBreak/>
        <w:t>pancreatic resection: Cohort study and meta-analyses. Int J Surg [Internet]. Elsevier Ltd; 2015 [cited 2017 Apr 14];17:41–7. Available from: http://dx.doi.org/10.1016/j.ijsu.2015.03.009</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15. Bone RC, Balk RA, Cerra FB, Dellinger RP, Fein AM, Knaus WA, et al. Definitions for Sepsis and Organ Failure and Guidelines for the Use of Innovative Therapies in Sepsis. Chest. American College of Chest Physicians; 1992;101:1644–55.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16. Bruno O, Brancatelli G, Sauvanet A, Vullierme MP, Barrau V, Vilgrain V. Utility of CT in the diagnosis of pancreatic fistula after pancreaticoduodenectomy in patients with soft pancreas. Am J Roentgenol. 2009;193:W175-80.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17. Hashimoto M, Koga M, Ishiyama K, Watarai J, Shibata S, Sato T, et al. CT features of pancreatic fistula after pancreaticoduodenectomy. AJR Am J Roentgenol. 2007;188:W323-7.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18. Smits FJ, van Santvoort HC, Besselink MG, Batenburg MCT, Slooff RAE, Boerma D, et al. Management of Severe Pancreatic Fistula After Pancreatoduodenectomy. JAMA Surg [Internet]. 2017 [cited 2017 Mar 7]; Available from: http://www.ncbi.nlm.nih.gov/pubmed/28241220</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19. Malleo G, Pulvirenti A, Marchegiani G, Butturini G, Salvia R, Bassi C. Diagnosis and management of postoperative pancreatic fistula. Langenbecks Arch Surg. 2014;399:801–10.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20. Tol JAMG, Busch ORC, van Delden OM, van Lienden KP, van Gulik TM, Gouma DJ. Shifting role of operative and nonoperative interventions in managing complications after pancreatoduodenectomy: what is the preferred intervention? Surgery. 2014;156:622–31.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21. King JC, Hogg M, Zeh HJ. Major Disruptions of Pancreaticojejunostomy. Gastrointest Surg. New York, NY: Springer New York; 2015. p. 281–92.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22. Sohn TA, Yeo CJ, Cameron JL, Geschwind JF, Mitchell SE, Venbrux AC, et al. Pancreaticoduodenectomy: role of interventional radiologists in managing patients and complications. J Gastrointest Surg. 2003;7:209–19.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23. Sanjay P, Kellner M, Tait IS. The role of interventional radiology in the management of surgical complications after pancreatoduodenectomy. HPB (Oxford). 2012;14:812–7.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24. van Grinsven J, van Brunschot S, van Santvoort HC, Schepers NJ, Doeve B, Bakker OJ, et al. The Value of a 24/7 Online Nationwide Multidisciplinary Expert Panel for Acute Necrotizing Pancreatitis. Gastroenterology. 2017;152:685–688.e6.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25. Behrman SW, Bahr MH, Dickson P V, Zarzaur BL. The Microbiology of Secondary and Postoperative Pancreatic Infections. Arch Surg. 2011;146:613.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26. McMillan MT, Malleo G, Bassi C, Allegrini V, Casetti L, Drebin JA, et al. Multicenter, prospective trial of selective drain management for pancreatoduodenectomy using risk stratification. Ann Surg. 2017;265:1209–18.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27. Tsujie M, Nakamori S, Miyamoto AA, Yasui M, Ikenaga M, Hirao M, et al. Risk Factors of PAncreatic Fistula after Pancreaticoduodenectomy - Patients with Low Drain Amylase Level on Postoperative Day 1 are Safe from Developing Pancreatic Fistula. Hepatogastroenterology. 2012;59:2657–60.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28. Dugalic VD, Knezevic DM, Obradovic VN, Gojnic-Dugalic MG, Matic S V, Pavlovic-Markovic AR, et al. </w:t>
      </w:r>
      <w:r w:rsidRPr="00625C5F">
        <w:rPr>
          <w:rFonts w:ascii="Calibri" w:hAnsi="Calibri" w:cs="Times New Roman"/>
          <w:noProof/>
          <w:szCs w:val="24"/>
        </w:rPr>
        <w:lastRenderedPageBreak/>
        <w:t xml:space="preserve">Drain amylase value as an early predictor of pancreatic fistula after cephalic duodenopancreatectomy. World J Gastroenterol. 2014;20:8691–9.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29. Kobayashi S, Gotohda N, Kato Y, Takahashi S, Konishi M, Kinoshita T. Infection control for prevention of pancreatic fistula after pancreaticoduodenectomy. Hepatogastroenterology. 2013;60:876–82.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 xml:space="preserve">30. El Nakeeb A, Salah T, Sultan A, El Hemaly M, Askr W, Ezzat H, et al. Pancreatic Anastomotic Leakage after Pancreaticoduodenectomy. Risk factors, Clinical predictors, and Management (Single Center Experience). World J Gastroenterol. 2013;37. </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31. Shinchi H, WADA K, TRAVERSO LW. The Usefulness of Drain Data to Identify a Clinically Relevant Pancreatic Anastomotic Leak After Pancreaticoduodenectomy? J Gastrointest Surg [Internet]. 2006 [cited 2017 Apr 14];10:490–8. Available from: http://linkinghub.elsevier.com/retrieve/pii/S1091255X0500661X</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32. Facy O, Chalumeau C, Poussier M, Binquet C, Rat P, Ortega-Deballon P. Diagnosis of postoperative pancreatic fistula. Br J Surg [Internet]. 2012 [cited 2017 Apr 26];99:1072–5. Available from: http://www.ncbi.nlm.nih.gov/pubmed/22539219</w:t>
      </w:r>
    </w:p>
    <w:p w:rsidR="00625C5F" w:rsidRPr="00625C5F" w:rsidRDefault="00625C5F" w:rsidP="00625C5F">
      <w:pPr>
        <w:widowControl w:val="0"/>
        <w:autoSpaceDE w:val="0"/>
        <w:autoSpaceDN w:val="0"/>
        <w:adjustRightInd w:val="0"/>
        <w:spacing w:line="240" w:lineRule="auto"/>
        <w:rPr>
          <w:rFonts w:ascii="Calibri" w:hAnsi="Calibri" w:cs="Times New Roman"/>
          <w:noProof/>
          <w:szCs w:val="24"/>
        </w:rPr>
      </w:pPr>
      <w:r w:rsidRPr="00625C5F">
        <w:rPr>
          <w:rFonts w:ascii="Calibri" w:hAnsi="Calibri" w:cs="Times New Roman"/>
          <w:noProof/>
          <w:szCs w:val="24"/>
        </w:rPr>
        <w:t>33. Koch M, Garden OJ, Padbury R, Rahbari NN, Adam R, Capussotti L, et al. Bile leakage after hepatobiliary and pancreatic surgery: a definition and grading of severity by the International Study Group of Liver Surgery. Surgery [Internet]. 2011 [cited 2015 Nov 12];149:680–8. Available from: http://www.ncbi.nlm.nih.gov/pubmed/21316725</w:t>
      </w:r>
    </w:p>
    <w:p w:rsidR="00625C5F" w:rsidRPr="00625C5F" w:rsidRDefault="00625C5F" w:rsidP="00625C5F">
      <w:pPr>
        <w:widowControl w:val="0"/>
        <w:autoSpaceDE w:val="0"/>
        <w:autoSpaceDN w:val="0"/>
        <w:adjustRightInd w:val="0"/>
        <w:spacing w:line="240" w:lineRule="auto"/>
        <w:rPr>
          <w:rFonts w:ascii="Calibri" w:hAnsi="Calibri"/>
          <w:noProof/>
        </w:rPr>
      </w:pPr>
      <w:r w:rsidRPr="00625C5F">
        <w:rPr>
          <w:rFonts w:ascii="Calibri" w:hAnsi="Calibri" w:cs="Times New Roman"/>
          <w:noProof/>
          <w:szCs w:val="24"/>
        </w:rPr>
        <w:t>34. Malleo G, Vollmer CM. Postpancreatectomy Complications and Management. Surg Clin North Am [Internet]. Elsevier Inc; 2016;96:1313–36. Available from: http://dx.doi.org/10.1016/j.suc.2016.07.013</w:t>
      </w:r>
    </w:p>
    <w:p w:rsidR="00876AAE" w:rsidRPr="004F7AFD" w:rsidRDefault="004F7AFD" w:rsidP="00625C5F">
      <w:pPr>
        <w:widowControl w:val="0"/>
        <w:autoSpaceDE w:val="0"/>
        <w:autoSpaceDN w:val="0"/>
        <w:adjustRightInd w:val="0"/>
        <w:spacing w:line="240" w:lineRule="auto"/>
        <w:ind w:left="640" w:hanging="640"/>
        <w:rPr>
          <w:lang w:val="en-US"/>
        </w:rPr>
      </w:pPr>
      <w:r>
        <w:rPr>
          <w:lang w:val="en-US"/>
        </w:rPr>
        <w:fldChar w:fldCharType="end"/>
      </w:r>
    </w:p>
    <w:sectPr w:rsidR="00876AAE" w:rsidRPr="004F7AF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AFD" w:rsidRDefault="004F7AFD" w:rsidP="004F7AFD">
      <w:pPr>
        <w:spacing w:after="0" w:line="240" w:lineRule="auto"/>
      </w:pPr>
      <w:r>
        <w:separator/>
      </w:r>
    </w:p>
  </w:endnote>
  <w:endnote w:type="continuationSeparator" w:id="0">
    <w:p w:rsidR="004F7AFD" w:rsidRDefault="004F7AFD" w:rsidP="004F7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aarlemmer MT Medium OsF">
    <w:altName w:val="Constantia"/>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AFD" w:rsidRDefault="004F7AFD" w:rsidP="004F7AFD">
    <w:pPr>
      <w:pStyle w:val="Voettekst"/>
      <w:jc w:val="center"/>
    </w:pPr>
    <w:r>
      <w:t>November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AFD" w:rsidRDefault="004F7AFD" w:rsidP="004F7AFD">
      <w:pPr>
        <w:spacing w:after="0" w:line="240" w:lineRule="auto"/>
      </w:pPr>
      <w:r>
        <w:separator/>
      </w:r>
    </w:p>
  </w:footnote>
  <w:footnote w:type="continuationSeparator" w:id="0">
    <w:p w:rsidR="004F7AFD" w:rsidRDefault="004F7AFD" w:rsidP="004F7A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AFD" w:rsidRDefault="004F7AFD" w:rsidP="004F7AFD">
    <w:pPr>
      <w:pStyle w:val="Koptekst"/>
      <w:jc w:val="center"/>
    </w:pPr>
    <w:r>
      <w:t xml:space="preserve">Smits &amp; DPCG – PORSCH </w:t>
    </w:r>
    <w:proofErr w:type="spellStart"/>
    <w:r>
      <w:t>study</w:t>
    </w:r>
    <w:proofErr w:type="spellEnd"/>
    <w:r>
      <w:t xml:space="preserve"> protocol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7690"/>
    <w:multiLevelType w:val="hybridMultilevel"/>
    <w:tmpl w:val="78C802E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2D6E12AD"/>
    <w:multiLevelType w:val="hybridMultilevel"/>
    <w:tmpl w:val="B634837A"/>
    <w:lvl w:ilvl="0" w:tplc="E646A36A">
      <w:numFmt w:val="bullet"/>
      <w:lvlText w:val="-"/>
      <w:lvlJc w:val="left"/>
      <w:pPr>
        <w:ind w:left="720" w:hanging="360"/>
      </w:pPr>
      <w:rPr>
        <w:rFonts w:ascii="Haarlemmer MT Medium OsF" w:eastAsia="Times New Roman" w:hAnsi="Haarlemmer MT Medium OsF"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34316936"/>
    <w:multiLevelType w:val="multilevel"/>
    <w:tmpl w:val="0F4AF326"/>
    <w:lvl w:ilvl="0">
      <w:start w:val="1"/>
      <w:numFmt w:val="decimal"/>
      <w:pStyle w:val="Kop1"/>
      <w:lvlText w:val="%1."/>
      <w:lvlJc w:val="left"/>
      <w:pPr>
        <w:tabs>
          <w:tab w:val="num" w:pos="340"/>
        </w:tabs>
        <w:ind w:left="340" w:hanging="340"/>
      </w:pPr>
      <w:rPr>
        <w:rFonts w:hint="default"/>
        <w:b/>
        <w:i w:val="0"/>
      </w:rPr>
    </w:lvl>
    <w:lvl w:ilvl="1">
      <w:start w:val="1"/>
      <w:numFmt w:val="decimal"/>
      <w:pStyle w:val="Kop2"/>
      <w:lvlText w:val="%1.%2"/>
      <w:lvlJc w:val="left"/>
      <w:pPr>
        <w:tabs>
          <w:tab w:val="num" w:pos="851"/>
        </w:tabs>
        <w:ind w:left="851" w:hanging="511"/>
      </w:pPr>
      <w:rPr>
        <w:rFonts w:hint="default"/>
      </w:rPr>
    </w:lvl>
    <w:lvl w:ilvl="2">
      <w:start w:val="1"/>
      <w:numFmt w:val="decimal"/>
      <w:pStyle w:val="Kop3"/>
      <w:lvlText w:val="%1.%2.%3"/>
      <w:lvlJc w:val="left"/>
      <w:pPr>
        <w:tabs>
          <w:tab w:val="num" w:pos="1134"/>
        </w:tabs>
        <w:ind w:left="1134" w:hanging="283"/>
      </w:pPr>
      <w:rPr>
        <w:rFonts w:hint="default"/>
      </w:rPr>
    </w:lvl>
    <w:lvl w:ilvl="3">
      <w:start w:val="1"/>
      <w:numFmt w:val="none"/>
      <w:pStyle w:val="Kop4"/>
      <w:lvlText w:val="0"/>
      <w:lvlJc w:val="left"/>
      <w:pPr>
        <w:tabs>
          <w:tab w:val="num" w:pos="717"/>
        </w:tabs>
        <w:ind w:left="717" w:hanging="864"/>
      </w:pPr>
      <w:rPr>
        <w:rFonts w:hint="default"/>
      </w:rPr>
    </w:lvl>
    <w:lvl w:ilvl="4">
      <w:start w:val="1"/>
      <w:numFmt w:val="none"/>
      <w:pStyle w:val="Kop5"/>
      <w:lvlText w:val="0"/>
      <w:lvlJc w:val="left"/>
      <w:pPr>
        <w:tabs>
          <w:tab w:val="num" w:pos="861"/>
        </w:tabs>
        <w:ind w:left="861" w:hanging="1008"/>
      </w:pPr>
      <w:rPr>
        <w:rFonts w:hint="default"/>
      </w:rPr>
    </w:lvl>
    <w:lvl w:ilvl="5">
      <w:start w:val="1"/>
      <w:numFmt w:val="none"/>
      <w:pStyle w:val="Kop6"/>
      <w:lvlText w:val="0"/>
      <w:lvlJc w:val="left"/>
      <w:pPr>
        <w:tabs>
          <w:tab w:val="num" w:pos="1005"/>
        </w:tabs>
        <w:ind w:left="1005" w:hanging="1152"/>
      </w:pPr>
      <w:rPr>
        <w:rFonts w:hint="default"/>
      </w:rPr>
    </w:lvl>
    <w:lvl w:ilvl="6">
      <w:start w:val="1"/>
      <w:numFmt w:val="none"/>
      <w:pStyle w:val="Kop7"/>
      <w:lvlText w:val="0"/>
      <w:lvlJc w:val="left"/>
      <w:pPr>
        <w:tabs>
          <w:tab w:val="num" w:pos="1149"/>
        </w:tabs>
        <w:ind w:left="1149" w:hanging="1296"/>
      </w:pPr>
      <w:rPr>
        <w:rFonts w:hint="default"/>
      </w:rPr>
    </w:lvl>
    <w:lvl w:ilvl="7">
      <w:start w:val="1"/>
      <w:numFmt w:val="none"/>
      <w:pStyle w:val="Kop8"/>
      <w:lvlText w:val="0"/>
      <w:lvlJc w:val="left"/>
      <w:pPr>
        <w:tabs>
          <w:tab w:val="num" w:pos="1293"/>
        </w:tabs>
        <w:ind w:left="1293" w:hanging="1440"/>
      </w:pPr>
      <w:rPr>
        <w:rFonts w:hint="default"/>
      </w:rPr>
    </w:lvl>
    <w:lvl w:ilvl="8">
      <w:start w:val="1"/>
      <w:numFmt w:val="none"/>
      <w:pStyle w:val="Kop9"/>
      <w:lvlText w:val="0"/>
      <w:lvlJc w:val="left"/>
      <w:pPr>
        <w:tabs>
          <w:tab w:val="num" w:pos="1437"/>
        </w:tabs>
        <w:ind w:left="1437" w:hanging="1584"/>
      </w:pPr>
      <w:rPr>
        <w:rFonts w:hint="default"/>
      </w:rPr>
    </w:lvl>
  </w:abstractNum>
  <w:abstractNum w:abstractNumId="3">
    <w:nsid w:val="3C6B0B73"/>
    <w:multiLevelType w:val="hybridMultilevel"/>
    <w:tmpl w:val="BED81E4E"/>
    <w:lvl w:ilvl="0" w:tplc="809C7C2C">
      <w:start w:val="2"/>
      <w:numFmt w:val="bullet"/>
      <w:lvlText w:val=""/>
      <w:lvlJc w:val="left"/>
      <w:pPr>
        <w:ind w:left="1037" w:hanging="360"/>
      </w:pPr>
      <w:rPr>
        <w:rFonts w:ascii="Wingdings 2" w:eastAsia="Times New Roman" w:hAnsi="Wingdings 2" w:hint="default"/>
      </w:rPr>
    </w:lvl>
    <w:lvl w:ilvl="1" w:tplc="04130003" w:tentative="1">
      <w:start w:val="1"/>
      <w:numFmt w:val="bullet"/>
      <w:lvlText w:val="o"/>
      <w:lvlJc w:val="left"/>
      <w:pPr>
        <w:ind w:left="1757" w:hanging="360"/>
      </w:pPr>
      <w:rPr>
        <w:rFonts w:ascii="Courier New" w:hAnsi="Courier New" w:hint="default"/>
      </w:rPr>
    </w:lvl>
    <w:lvl w:ilvl="2" w:tplc="04130005" w:tentative="1">
      <w:start w:val="1"/>
      <w:numFmt w:val="bullet"/>
      <w:lvlText w:val=""/>
      <w:lvlJc w:val="left"/>
      <w:pPr>
        <w:ind w:left="2477" w:hanging="360"/>
      </w:pPr>
      <w:rPr>
        <w:rFonts w:ascii="Wingdings" w:hAnsi="Wingdings" w:hint="default"/>
      </w:rPr>
    </w:lvl>
    <w:lvl w:ilvl="3" w:tplc="04130001" w:tentative="1">
      <w:start w:val="1"/>
      <w:numFmt w:val="bullet"/>
      <w:lvlText w:val=""/>
      <w:lvlJc w:val="left"/>
      <w:pPr>
        <w:ind w:left="3197" w:hanging="360"/>
      </w:pPr>
      <w:rPr>
        <w:rFonts w:ascii="Symbol" w:hAnsi="Symbol" w:hint="default"/>
      </w:rPr>
    </w:lvl>
    <w:lvl w:ilvl="4" w:tplc="04130003" w:tentative="1">
      <w:start w:val="1"/>
      <w:numFmt w:val="bullet"/>
      <w:lvlText w:val="o"/>
      <w:lvlJc w:val="left"/>
      <w:pPr>
        <w:ind w:left="3917" w:hanging="360"/>
      </w:pPr>
      <w:rPr>
        <w:rFonts w:ascii="Courier New" w:hAnsi="Courier New" w:hint="default"/>
      </w:rPr>
    </w:lvl>
    <w:lvl w:ilvl="5" w:tplc="04130005" w:tentative="1">
      <w:start w:val="1"/>
      <w:numFmt w:val="bullet"/>
      <w:lvlText w:val=""/>
      <w:lvlJc w:val="left"/>
      <w:pPr>
        <w:ind w:left="4637" w:hanging="360"/>
      </w:pPr>
      <w:rPr>
        <w:rFonts w:ascii="Wingdings" w:hAnsi="Wingdings" w:hint="default"/>
      </w:rPr>
    </w:lvl>
    <w:lvl w:ilvl="6" w:tplc="04130001" w:tentative="1">
      <w:start w:val="1"/>
      <w:numFmt w:val="bullet"/>
      <w:lvlText w:val=""/>
      <w:lvlJc w:val="left"/>
      <w:pPr>
        <w:ind w:left="5357" w:hanging="360"/>
      </w:pPr>
      <w:rPr>
        <w:rFonts w:ascii="Symbol" w:hAnsi="Symbol" w:hint="default"/>
      </w:rPr>
    </w:lvl>
    <w:lvl w:ilvl="7" w:tplc="04130003" w:tentative="1">
      <w:start w:val="1"/>
      <w:numFmt w:val="bullet"/>
      <w:lvlText w:val="o"/>
      <w:lvlJc w:val="left"/>
      <w:pPr>
        <w:ind w:left="6077" w:hanging="360"/>
      </w:pPr>
      <w:rPr>
        <w:rFonts w:ascii="Courier New" w:hAnsi="Courier New" w:hint="default"/>
      </w:rPr>
    </w:lvl>
    <w:lvl w:ilvl="8" w:tplc="04130005" w:tentative="1">
      <w:start w:val="1"/>
      <w:numFmt w:val="bullet"/>
      <w:lvlText w:val=""/>
      <w:lvlJc w:val="left"/>
      <w:pPr>
        <w:ind w:left="6797" w:hanging="360"/>
      </w:pPr>
      <w:rPr>
        <w:rFonts w:ascii="Wingdings" w:hAnsi="Wingdings" w:hint="default"/>
      </w:rPr>
    </w:lvl>
  </w:abstractNum>
  <w:abstractNum w:abstractNumId="4">
    <w:nsid w:val="3C873F03"/>
    <w:multiLevelType w:val="hybridMultilevel"/>
    <w:tmpl w:val="A336E6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4B751AF3"/>
    <w:multiLevelType w:val="hybridMultilevel"/>
    <w:tmpl w:val="E6D8718E"/>
    <w:lvl w:ilvl="0" w:tplc="D512C924">
      <w:numFmt w:val="bullet"/>
      <w:lvlText w:val="-"/>
      <w:lvlJc w:val="left"/>
      <w:pPr>
        <w:ind w:left="720" w:hanging="360"/>
      </w:pPr>
      <w:rPr>
        <w:rFonts w:ascii="Haarlemmer MT Medium OsF" w:eastAsia="Times New Roman" w:hAnsi="Haarlemmer MT Medium OsF"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D8A77E9"/>
    <w:multiLevelType w:val="hybridMultilevel"/>
    <w:tmpl w:val="E7EE32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5E147733"/>
    <w:multiLevelType w:val="hybridMultilevel"/>
    <w:tmpl w:val="81EEEA94"/>
    <w:lvl w:ilvl="0" w:tplc="CF5EDE10">
      <w:start w:val="6"/>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661C0F69"/>
    <w:multiLevelType w:val="hybridMultilevel"/>
    <w:tmpl w:val="BFD8406E"/>
    <w:lvl w:ilvl="0" w:tplc="04130011">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6A231F87"/>
    <w:multiLevelType w:val="hybridMultilevel"/>
    <w:tmpl w:val="BDB8ADCA"/>
    <w:lvl w:ilvl="0" w:tplc="DD14E25E">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789D766B"/>
    <w:multiLevelType w:val="hybridMultilevel"/>
    <w:tmpl w:val="63A63796"/>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7C0E7FF3"/>
    <w:multiLevelType w:val="hybridMultilevel"/>
    <w:tmpl w:val="E0B876A6"/>
    <w:lvl w:ilvl="0" w:tplc="9648DE06">
      <w:start w:val="30"/>
      <w:numFmt w:val="bullet"/>
      <w:lvlText w:val="-"/>
      <w:lvlJc w:val="left"/>
      <w:pPr>
        <w:ind w:left="360" w:hanging="360"/>
      </w:pPr>
      <w:rPr>
        <w:rFonts w:ascii="Arial" w:eastAsia="Times New Roman" w:hAnsi="Arial" w:cs="Aria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2"/>
  </w:num>
  <w:num w:numId="2">
    <w:abstractNumId w:val="7"/>
  </w:num>
  <w:num w:numId="3">
    <w:abstractNumId w:val="10"/>
  </w:num>
  <w:num w:numId="4">
    <w:abstractNumId w:val="11"/>
  </w:num>
  <w:num w:numId="5">
    <w:abstractNumId w:val="3"/>
  </w:num>
  <w:num w:numId="6">
    <w:abstractNumId w:val="0"/>
  </w:num>
  <w:num w:numId="7">
    <w:abstractNumId w:val="1"/>
  </w:num>
  <w:num w:numId="8">
    <w:abstractNumId w:val="5"/>
  </w:num>
  <w:num w:numId="9">
    <w:abstractNumId w:val="8"/>
  </w:num>
  <w:num w:numId="10">
    <w:abstractNumId w:val="4"/>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AFD"/>
    <w:rsid w:val="00143DE1"/>
    <w:rsid w:val="004F7AFD"/>
    <w:rsid w:val="00625C5F"/>
    <w:rsid w:val="00876AAE"/>
    <w:rsid w:val="00A77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F7AFD"/>
    <w:rPr>
      <w:rFonts w:asciiTheme="minorHAnsi" w:hAnsiTheme="minorHAnsi"/>
      <w:lang w:val="nl-NL"/>
    </w:rPr>
  </w:style>
  <w:style w:type="paragraph" w:styleId="Kop1">
    <w:name w:val="heading 1"/>
    <w:basedOn w:val="Standaard"/>
    <w:next w:val="Standaard"/>
    <w:link w:val="Kop1Char"/>
    <w:qFormat/>
    <w:rsid w:val="004F7AFD"/>
    <w:pPr>
      <w:keepNext/>
      <w:numPr>
        <w:numId w:val="1"/>
      </w:numPr>
      <w:tabs>
        <w:tab w:val="left" w:pos="1701"/>
      </w:tabs>
      <w:spacing w:after="0" w:line="320" w:lineRule="exact"/>
      <w:outlineLvl w:val="0"/>
    </w:pPr>
    <w:rPr>
      <w:rFonts w:ascii="Arial" w:eastAsia="Times New Roman" w:hAnsi="Arial" w:cs="Times New Roman"/>
      <w:b/>
      <w:lang w:eastAsia="nl-NL"/>
    </w:rPr>
  </w:style>
  <w:style w:type="paragraph" w:styleId="Kop2">
    <w:name w:val="heading 2"/>
    <w:basedOn w:val="Standaard"/>
    <w:next w:val="Standaard"/>
    <w:link w:val="Kop2Char"/>
    <w:qFormat/>
    <w:rsid w:val="004F7AFD"/>
    <w:pPr>
      <w:keepNext/>
      <w:numPr>
        <w:ilvl w:val="1"/>
        <w:numId w:val="1"/>
      </w:numPr>
      <w:tabs>
        <w:tab w:val="left" w:pos="1701"/>
      </w:tabs>
      <w:spacing w:before="120" w:after="0" w:line="320" w:lineRule="exact"/>
      <w:outlineLvl w:val="1"/>
    </w:pPr>
    <w:rPr>
      <w:rFonts w:ascii="Arial" w:eastAsia="Times New Roman" w:hAnsi="Arial" w:cs="Arial"/>
      <w:b/>
      <w:bCs/>
      <w:iCs/>
      <w:szCs w:val="28"/>
      <w:lang w:eastAsia="nl-NL"/>
    </w:rPr>
  </w:style>
  <w:style w:type="paragraph" w:styleId="Kop3">
    <w:name w:val="heading 3"/>
    <w:basedOn w:val="Standaard"/>
    <w:next w:val="Standaard"/>
    <w:link w:val="Kop3Char"/>
    <w:qFormat/>
    <w:rsid w:val="004F7AFD"/>
    <w:pPr>
      <w:keepNext/>
      <w:numPr>
        <w:ilvl w:val="2"/>
        <w:numId w:val="1"/>
      </w:numPr>
      <w:tabs>
        <w:tab w:val="left" w:pos="1701"/>
      </w:tabs>
      <w:spacing w:before="240" w:after="60" w:line="320" w:lineRule="exact"/>
      <w:outlineLvl w:val="2"/>
    </w:pPr>
    <w:rPr>
      <w:rFonts w:ascii="Arial" w:eastAsia="Times New Roman" w:hAnsi="Arial" w:cs="Arial"/>
      <w:b/>
      <w:bCs/>
      <w:szCs w:val="26"/>
      <w:lang w:eastAsia="nl-NL"/>
    </w:rPr>
  </w:style>
  <w:style w:type="paragraph" w:styleId="Kop4">
    <w:name w:val="heading 4"/>
    <w:basedOn w:val="Standaard"/>
    <w:next w:val="Standaard"/>
    <w:link w:val="Kop4Char"/>
    <w:qFormat/>
    <w:rsid w:val="004F7AFD"/>
    <w:pPr>
      <w:keepNext/>
      <w:numPr>
        <w:ilvl w:val="3"/>
        <w:numId w:val="1"/>
      </w:numPr>
      <w:tabs>
        <w:tab w:val="left" w:pos="1701"/>
      </w:tabs>
      <w:spacing w:before="240" w:after="60" w:line="320" w:lineRule="exact"/>
      <w:outlineLvl w:val="3"/>
    </w:pPr>
    <w:rPr>
      <w:rFonts w:ascii="Times New Roman" w:eastAsia="Times New Roman" w:hAnsi="Times New Roman" w:cs="Times New Roman"/>
      <w:b/>
      <w:bCs/>
      <w:sz w:val="28"/>
      <w:szCs w:val="28"/>
      <w:lang w:eastAsia="nl-NL"/>
    </w:rPr>
  </w:style>
  <w:style w:type="paragraph" w:styleId="Kop5">
    <w:name w:val="heading 5"/>
    <w:basedOn w:val="Standaard"/>
    <w:next w:val="Standaard"/>
    <w:link w:val="Kop5Char"/>
    <w:qFormat/>
    <w:rsid w:val="004F7AFD"/>
    <w:pPr>
      <w:numPr>
        <w:ilvl w:val="4"/>
        <w:numId w:val="1"/>
      </w:numPr>
      <w:tabs>
        <w:tab w:val="left" w:pos="1701"/>
      </w:tabs>
      <w:spacing w:before="240" w:after="60" w:line="320" w:lineRule="exact"/>
      <w:outlineLvl w:val="4"/>
    </w:pPr>
    <w:rPr>
      <w:rFonts w:ascii="Arial" w:eastAsia="Times New Roman" w:hAnsi="Arial" w:cs="Times New Roman"/>
      <w:b/>
      <w:bCs/>
      <w:i/>
      <w:iCs/>
      <w:sz w:val="26"/>
      <w:szCs w:val="26"/>
      <w:lang w:eastAsia="nl-NL"/>
    </w:rPr>
  </w:style>
  <w:style w:type="paragraph" w:styleId="Kop6">
    <w:name w:val="heading 6"/>
    <w:basedOn w:val="Standaard"/>
    <w:next w:val="Standaard"/>
    <w:link w:val="Kop6Char"/>
    <w:qFormat/>
    <w:rsid w:val="004F7AFD"/>
    <w:pPr>
      <w:numPr>
        <w:ilvl w:val="5"/>
        <w:numId w:val="1"/>
      </w:numPr>
      <w:tabs>
        <w:tab w:val="left" w:pos="1701"/>
      </w:tabs>
      <w:spacing w:before="240" w:after="60" w:line="320" w:lineRule="exact"/>
      <w:outlineLvl w:val="5"/>
    </w:pPr>
    <w:rPr>
      <w:rFonts w:ascii="Times New Roman" w:eastAsia="Times New Roman" w:hAnsi="Times New Roman" w:cs="Times New Roman"/>
      <w:b/>
      <w:bCs/>
      <w:lang w:eastAsia="nl-NL"/>
    </w:rPr>
  </w:style>
  <w:style w:type="paragraph" w:styleId="Kop7">
    <w:name w:val="heading 7"/>
    <w:basedOn w:val="Standaard"/>
    <w:next w:val="Standaard"/>
    <w:link w:val="Kop7Char"/>
    <w:qFormat/>
    <w:rsid w:val="004F7AFD"/>
    <w:pPr>
      <w:numPr>
        <w:ilvl w:val="6"/>
        <w:numId w:val="1"/>
      </w:numPr>
      <w:tabs>
        <w:tab w:val="left" w:pos="1701"/>
      </w:tabs>
      <w:spacing w:before="240" w:after="60" w:line="320" w:lineRule="exact"/>
      <w:outlineLvl w:val="6"/>
    </w:pPr>
    <w:rPr>
      <w:rFonts w:ascii="Times New Roman" w:eastAsia="Times New Roman" w:hAnsi="Times New Roman" w:cs="Times New Roman"/>
      <w:sz w:val="24"/>
      <w:szCs w:val="24"/>
      <w:lang w:eastAsia="nl-NL"/>
    </w:rPr>
  </w:style>
  <w:style w:type="paragraph" w:styleId="Kop8">
    <w:name w:val="heading 8"/>
    <w:basedOn w:val="Standaard"/>
    <w:next w:val="Standaard"/>
    <w:link w:val="Kop8Char"/>
    <w:qFormat/>
    <w:rsid w:val="004F7AFD"/>
    <w:pPr>
      <w:numPr>
        <w:ilvl w:val="7"/>
        <w:numId w:val="1"/>
      </w:numPr>
      <w:tabs>
        <w:tab w:val="left" w:pos="1701"/>
      </w:tabs>
      <w:spacing w:before="240" w:after="60" w:line="320" w:lineRule="exact"/>
      <w:outlineLvl w:val="7"/>
    </w:pPr>
    <w:rPr>
      <w:rFonts w:ascii="Times New Roman" w:eastAsia="Times New Roman" w:hAnsi="Times New Roman" w:cs="Times New Roman"/>
      <w:i/>
      <w:iCs/>
      <w:sz w:val="24"/>
      <w:szCs w:val="24"/>
      <w:lang w:eastAsia="nl-NL"/>
    </w:rPr>
  </w:style>
  <w:style w:type="paragraph" w:styleId="Kop9">
    <w:name w:val="heading 9"/>
    <w:basedOn w:val="Standaard"/>
    <w:next w:val="Standaard"/>
    <w:link w:val="Kop9Char"/>
    <w:qFormat/>
    <w:rsid w:val="004F7AFD"/>
    <w:pPr>
      <w:numPr>
        <w:ilvl w:val="8"/>
        <w:numId w:val="1"/>
      </w:numPr>
      <w:tabs>
        <w:tab w:val="left" w:pos="1701"/>
      </w:tabs>
      <w:spacing w:before="240" w:after="60" w:line="320" w:lineRule="exact"/>
      <w:outlineLvl w:val="8"/>
    </w:pPr>
    <w:rPr>
      <w:rFonts w:ascii="Arial" w:eastAsia="Times New Roman" w:hAnsi="Arial" w:cs="Arial"/>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4F7AFD"/>
    <w:rPr>
      <w:rFonts w:ascii="Arial" w:eastAsia="Times New Roman" w:hAnsi="Arial" w:cs="Times New Roman"/>
      <w:b/>
      <w:lang w:val="nl-NL" w:eastAsia="nl-NL"/>
    </w:rPr>
  </w:style>
  <w:style w:type="character" w:customStyle="1" w:styleId="Kop2Char">
    <w:name w:val="Kop 2 Char"/>
    <w:basedOn w:val="Standaardalinea-lettertype"/>
    <w:link w:val="Kop2"/>
    <w:rsid w:val="004F7AFD"/>
    <w:rPr>
      <w:rFonts w:ascii="Arial" w:eastAsia="Times New Roman" w:hAnsi="Arial" w:cs="Arial"/>
      <w:b/>
      <w:bCs/>
      <w:iCs/>
      <w:szCs w:val="28"/>
      <w:lang w:val="nl-NL" w:eastAsia="nl-NL"/>
    </w:rPr>
  </w:style>
  <w:style w:type="character" w:customStyle="1" w:styleId="Kop3Char">
    <w:name w:val="Kop 3 Char"/>
    <w:basedOn w:val="Standaardalinea-lettertype"/>
    <w:link w:val="Kop3"/>
    <w:rsid w:val="004F7AFD"/>
    <w:rPr>
      <w:rFonts w:ascii="Arial" w:eastAsia="Times New Roman" w:hAnsi="Arial" w:cs="Arial"/>
      <w:b/>
      <w:bCs/>
      <w:szCs w:val="26"/>
      <w:lang w:val="nl-NL" w:eastAsia="nl-NL"/>
    </w:rPr>
  </w:style>
  <w:style w:type="character" w:customStyle="1" w:styleId="Kop4Char">
    <w:name w:val="Kop 4 Char"/>
    <w:basedOn w:val="Standaardalinea-lettertype"/>
    <w:link w:val="Kop4"/>
    <w:rsid w:val="004F7AFD"/>
    <w:rPr>
      <w:rFonts w:ascii="Times New Roman" w:eastAsia="Times New Roman" w:hAnsi="Times New Roman" w:cs="Times New Roman"/>
      <w:b/>
      <w:bCs/>
      <w:sz w:val="28"/>
      <w:szCs w:val="28"/>
      <w:lang w:val="nl-NL" w:eastAsia="nl-NL"/>
    </w:rPr>
  </w:style>
  <w:style w:type="character" w:customStyle="1" w:styleId="Kop5Char">
    <w:name w:val="Kop 5 Char"/>
    <w:basedOn w:val="Standaardalinea-lettertype"/>
    <w:link w:val="Kop5"/>
    <w:rsid w:val="004F7AFD"/>
    <w:rPr>
      <w:rFonts w:ascii="Arial" w:eastAsia="Times New Roman" w:hAnsi="Arial" w:cs="Times New Roman"/>
      <w:b/>
      <w:bCs/>
      <w:i/>
      <w:iCs/>
      <w:sz w:val="26"/>
      <w:szCs w:val="26"/>
      <w:lang w:val="nl-NL" w:eastAsia="nl-NL"/>
    </w:rPr>
  </w:style>
  <w:style w:type="character" w:customStyle="1" w:styleId="Kop6Char">
    <w:name w:val="Kop 6 Char"/>
    <w:basedOn w:val="Standaardalinea-lettertype"/>
    <w:link w:val="Kop6"/>
    <w:rsid w:val="004F7AFD"/>
    <w:rPr>
      <w:rFonts w:ascii="Times New Roman" w:eastAsia="Times New Roman" w:hAnsi="Times New Roman" w:cs="Times New Roman"/>
      <w:b/>
      <w:bCs/>
      <w:lang w:val="nl-NL" w:eastAsia="nl-NL"/>
    </w:rPr>
  </w:style>
  <w:style w:type="character" w:customStyle="1" w:styleId="Kop7Char">
    <w:name w:val="Kop 7 Char"/>
    <w:basedOn w:val="Standaardalinea-lettertype"/>
    <w:link w:val="Kop7"/>
    <w:rsid w:val="004F7AFD"/>
    <w:rPr>
      <w:rFonts w:ascii="Times New Roman" w:eastAsia="Times New Roman" w:hAnsi="Times New Roman" w:cs="Times New Roman"/>
      <w:sz w:val="24"/>
      <w:szCs w:val="24"/>
      <w:lang w:val="nl-NL" w:eastAsia="nl-NL"/>
    </w:rPr>
  </w:style>
  <w:style w:type="character" w:customStyle="1" w:styleId="Kop8Char">
    <w:name w:val="Kop 8 Char"/>
    <w:basedOn w:val="Standaardalinea-lettertype"/>
    <w:link w:val="Kop8"/>
    <w:rsid w:val="004F7AFD"/>
    <w:rPr>
      <w:rFonts w:ascii="Times New Roman" w:eastAsia="Times New Roman" w:hAnsi="Times New Roman" w:cs="Times New Roman"/>
      <w:i/>
      <w:iCs/>
      <w:sz w:val="24"/>
      <w:szCs w:val="24"/>
      <w:lang w:val="nl-NL" w:eastAsia="nl-NL"/>
    </w:rPr>
  </w:style>
  <w:style w:type="character" w:customStyle="1" w:styleId="Kop9Char">
    <w:name w:val="Kop 9 Char"/>
    <w:basedOn w:val="Standaardalinea-lettertype"/>
    <w:link w:val="Kop9"/>
    <w:rsid w:val="004F7AFD"/>
    <w:rPr>
      <w:rFonts w:ascii="Arial" w:eastAsia="Times New Roman" w:hAnsi="Arial" w:cs="Arial"/>
      <w:lang w:val="nl-NL" w:eastAsia="nl-NL"/>
    </w:rPr>
  </w:style>
  <w:style w:type="paragraph" w:styleId="Ballontekst">
    <w:name w:val="Balloon Text"/>
    <w:basedOn w:val="Standaard"/>
    <w:link w:val="BallontekstChar"/>
    <w:uiPriority w:val="99"/>
    <w:semiHidden/>
    <w:unhideWhenUsed/>
    <w:rsid w:val="004F7AF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F7AFD"/>
    <w:rPr>
      <w:rFonts w:ascii="Tahoma" w:hAnsi="Tahoma" w:cs="Tahoma"/>
      <w:sz w:val="16"/>
      <w:szCs w:val="16"/>
      <w:lang w:val="nl-NL"/>
    </w:rPr>
  </w:style>
  <w:style w:type="paragraph" w:styleId="Lijstalinea">
    <w:name w:val="List Paragraph"/>
    <w:basedOn w:val="Standaard"/>
    <w:uiPriority w:val="34"/>
    <w:qFormat/>
    <w:rsid w:val="004F7AFD"/>
    <w:pPr>
      <w:ind w:left="720"/>
      <w:contextualSpacing/>
    </w:pPr>
  </w:style>
  <w:style w:type="character" w:customStyle="1" w:styleId="TekstopmerkingChar">
    <w:name w:val="Tekst opmerking Char"/>
    <w:basedOn w:val="Standaardalinea-lettertype"/>
    <w:link w:val="Tekstopmerking"/>
    <w:uiPriority w:val="99"/>
    <w:semiHidden/>
    <w:rsid w:val="004F7AFD"/>
    <w:rPr>
      <w:rFonts w:ascii="Haarlemmer MT Medium OsF" w:eastAsia="Times New Roman" w:hAnsi="Haarlemmer MT Medium OsF" w:cs="Times New Roman"/>
      <w:sz w:val="20"/>
      <w:szCs w:val="20"/>
      <w:lang w:val="nl-NL" w:eastAsia="nl-NL"/>
    </w:rPr>
  </w:style>
  <w:style w:type="paragraph" w:styleId="Tekstopmerking">
    <w:name w:val="annotation text"/>
    <w:basedOn w:val="Standaard"/>
    <w:link w:val="TekstopmerkingChar"/>
    <w:uiPriority w:val="99"/>
    <w:semiHidden/>
    <w:rsid w:val="004F7AFD"/>
    <w:pPr>
      <w:tabs>
        <w:tab w:val="left" w:pos="284"/>
        <w:tab w:val="left" w:pos="1701"/>
      </w:tabs>
      <w:spacing w:after="0" w:line="320" w:lineRule="exact"/>
    </w:pPr>
    <w:rPr>
      <w:rFonts w:ascii="Haarlemmer MT Medium OsF" w:eastAsia="Times New Roman" w:hAnsi="Haarlemmer MT Medium OsF" w:cs="Times New Roman"/>
      <w:sz w:val="20"/>
      <w:szCs w:val="20"/>
      <w:lang w:eastAsia="nl-NL"/>
    </w:rPr>
  </w:style>
  <w:style w:type="character" w:customStyle="1" w:styleId="OnderwerpvanopmerkingChar">
    <w:name w:val="Onderwerp van opmerking Char"/>
    <w:basedOn w:val="TekstopmerkingChar"/>
    <w:link w:val="Onderwerpvanopmerking"/>
    <w:uiPriority w:val="99"/>
    <w:semiHidden/>
    <w:rsid w:val="004F7AFD"/>
    <w:rPr>
      <w:rFonts w:asciiTheme="minorHAnsi" w:eastAsia="Times New Roman" w:hAnsiTheme="minorHAnsi" w:cs="Times New Roman"/>
      <w:b/>
      <w:bCs/>
      <w:sz w:val="20"/>
      <w:szCs w:val="20"/>
      <w:lang w:val="nl-NL" w:eastAsia="nl-NL"/>
    </w:rPr>
  </w:style>
  <w:style w:type="paragraph" w:styleId="Onderwerpvanopmerking">
    <w:name w:val="annotation subject"/>
    <w:basedOn w:val="Tekstopmerking"/>
    <w:next w:val="Tekstopmerking"/>
    <w:link w:val="OnderwerpvanopmerkingChar"/>
    <w:uiPriority w:val="99"/>
    <w:semiHidden/>
    <w:unhideWhenUsed/>
    <w:rsid w:val="004F7AFD"/>
    <w:pPr>
      <w:tabs>
        <w:tab w:val="clear" w:pos="284"/>
        <w:tab w:val="clear" w:pos="1701"/>
      </w:tabs>
      <w:spacing w:after="200" w:line="240" w:lineRule="auto"/>
    </w:pPr>
    <w:rPr>
      <w:rFonts w:asciiTheme="minorHAnsi" w:eastAsiaTheme="minorHAnsi" w:hAnsiTheme="minorHAnsi" w:cstheme="minorBidi"/>
      <w:b/>
      <w:bCs/>
      <w:lang w:eastAsia="en-US"/>
    </w:rPr>
  </w:style>
  <w:style w:type="character" w:customStyle="1" w:styleId="VoetnoottekstChar">
    <w:name w:val="Voetnoottekst Char"/>
    <w:basedOn w:val="Standaardalinea-lettertype"/>
    <w:link w:val="Voetnoottekst"/>
    <w:uiPriority w:val="99"/>
    <w:semiHidden/>
    <w:rsid w:val="004F7AFD"/>
    <w:rPr>
      <w:rFonts w:asciiTheme="minorHAnsi" w:hAnsiTheme="minorHAnsi"/>
      <w:sz w:val="20"/>
      <w:szCs w:val="20"/>
      <w:lang w:val="nl-NL"/>
    </w:rPr>
  </w:style>
  <w:style w:type="paragraph" w:styleId="Voetnoottekst">
    <w:name w:val="footnote text"/>
    <w:basedOn w:val="Standaard"/>
    <w:link w:val="VoetnoottekstChar"/>
    <w:uiPriority w:val="99"/>
    <w:semiHidden/>
    <w:unhideWhenUsed/>
    <w:rsid w:val="004F7AFD"/>
    <w:pPr>
      <w:spacing w:after="0" w:line="240" w:lineRule="auto"/>
    </w:pPr>
    <w:rPr>
      <w:sz w:val="20"/>
      <w:szCs w:val="20"/>
    </w:rPr>
  </w:style>
  <w:style w:type="table" w:styleId="Tabelraster">
    <w:name w:val="Table Grid"/>
    <w:basedOn w:val="Standaardtabel"/>
    <w:uiPriority w:val="39"/>
    <w:rsid w:val="004F7AFD"/>
    <w:pPr>
      <w:tabs>
        <w:tab w:val="left" w:pos="284"/>
        <w:tab w:val="left" w:pos="1701"/>
      </w:tabs>
      <w:spacing w:after="0" w:line="320" w:lineRule="exact"/>
    </w:pPr>
    <w:rPr>
      <w:rFonts w:ascii="Times New Roman" w:eastAsia="Times New Roman" w:hAnsi="Times New Roman" w:cs="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link w:val="TitelChar"/>
    <w:uiPriority w:val="10"/>
    <w:qFormat/>
    <w:rsid w:val="004F7AFD"/>
    <w:pPr>
      <w:tabs>
        <w:tab w:val="left" w:pos="284"/>
        <w:tab w:val="left" w:pos="1701"/>
      </w:tabs>
      <w:spacing w:after="120" w:line="320" w:lineRule="exact"/>
      <w:outlineLvl w:val="3"/>
    </w:pPr>
    <w:rPr>
      <w:rFonts w:ascii="Arial" w:eastAsia="Times New Roman" w:hAnsi="Arial" w:cs="Arial"/>
      <w:b/>
      <w:bCs/>
      <w:kern w:val="28"/>
      <w:sz w:val="32"/>
      <w:szCs w:val="32"/>
      <w:lang w:eastAsia="nl-NL"/>
    </w:rPr>
  </w:style>
  <w:style w:type="character" w:customStyle="1" w:styleId="TitelChar">
    <w:name w:val="Titel Char"/>
    <w:basedOn w:val="Standaardalinea-lettertype"/>
    <w:link w:val="Titel"/>
    <w:uiPriority w:val="10"/>
    <w:rsid w:val="004F7AFD"/>
    <w:rPr>
      <w:rFonts w:ascii="Arial" w:eastAsia="Times New Roman" w:hAnsi="Arial" w:cs="Arial"/>
      <w:b/>
      <w:bCs/>
      <w:kern w:val="28"/>
      <w:sz w:val="32"/>
      <w:szCs w:val="32"/>
      <w:lang w:val="nl-NL" w:eastAsia="nl-NL"/>
    </w:rPr>
  </w:style>
  <w:style w:type="table" w:customStyle="1" w:styleId="Tabelraster2">
    <w:name w:val="Tabelraster2"/>
    <w:basedOn w:val="Standaardtabel"/>
    <w:next w:val="Tabelraster"/>
    <w:uiPriority w:val="59"/>
    <w:rsid w:val="004F7AFD"/>
    <w:pPr>
      <w:spacing w:after="0" w:line="240" w:lineRule="auto"/>
    </w:pPr>
    <w:rPr>
      <w:rFonts w:asciiTheme="minorHAnsi" w:hAnsiTheme="minorHAnsi"/>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59"/>
    <w:rsid w:val="004F7AFD"/>
    <w:pPr>
      <w:spacing w:after="0" w:line="240" w:lineRule="auto"/>
    </w:pPr>
    <w:rPr>
      <w:rFonts w:asciiTheme="minorHAnsi" w:hAnsiTheme="minorHAnsi"/>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umentstructuurChar">
    <w:name w:val="Documentstructuur Char"/>
    <w:basedOn w:val="Standaardalinea-lettertype"/>
    <w:link w:val="Documentstructuur"/>
    <w:uiPriority w:val="99"/>
    <w:semiHidden/>
    <w:rsid w:val="004F7AFD"/>
    <w:rPr>
      <w:rFonts w:ascii="Times New Roman" w:hAnsi="Times New Roman" w:cs="Times New Roman"/>
      <w:sz w:val="24"/>
      <w:szCs w:val="24"/>
      <w:lang w:val="nl-NL"/>
    </w:rPr>
  </w:style>
  <w:style w:type="paragraph" w:styleId="Documentstructuur">
    <w:name w:val="Document Map"/>
    <w:basedOn w:val="Standaard"/>
    <w:link w:val="DocumentstructuurChar"/>
    <w:uiPriority w:val="99"/>
    <w:semiHidden/>
    <w:unhideWhenUsed/>
    <w:rsid w:val="004F7AFD"/>
    <w:pPr>
      <w:spacing w:after="0" w:line="240" w:lineRule="auto"/>
    </w:pPr>
    <w:rPr>
      <w:rFonts w:ascii="Times New Roman" w:hAnsi="Times New Roman" w:cs="Times New Roman"/>
      <w:sz w:val="24"/>
      <w:szCs w:val="24"/>
    </w:rPr>
  </w:style>
  <w:style w:type="character" w:styleId="Hyperlink">
    <w:name w:val="Hyperlink"/>
    <w:basedOn w:val="Standaardalinea-lettertype"/>
    <w:uiPriority w:val="99"/>
    <w:unhideWhenUsed/>
    <w:rsid w:val="004F7AFD"/>
    <w:rPr>
      <w:color w:val="0000FF" w:themeColor="hyperlink"/>
      <w:u w:val="single"/>
    </w:rPr>
  </w:style>
  <w:style w:type="paragraph" w:styleId="Koptekst">
    <w:name w:val="header"/>
    <w:basedOn w:val="Standaard"/>
    <w:link w:val="KoptekstChar"/>
    <w:uiPriority w:val="99"/>
    <w:unhideWhenUsed/>
    <w:rsid w:val="004F7AF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F7AFD"/>
    <w:rPr>
      <w:rFonts w:asciiTheme="minorHAnsi" w:hAnsiTheme="minorHAnsi"/>
      <w:lang w:val="nl-NL"/>
    </w:rPr>
  </w:style>
  <w:style w:type="paragraph" w:styleId="Voettekst">
    <w:name w:val="footer"/>
    <w:basedOn w:val="Standaard"/>
    <w:link w:val="VoettekstChar"/>
    <w:uiPriority w:val="99"/>
    <w:unhideWhenUsed/>
    <w:rsid w:val="004F7AF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F7AFD"/>
    <w:rPr>
      <w:rFonts w:asciiTheme="minorHAnsi" w:hAnsiTheme="minorHAnsi"/>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egoe UI" w:eastAsiaTheme="minorHAnsi" w:hAnsi="Segoe U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F7AFD"/>
    <w:rPr>
      <w:rFonts w:asciiTheme="minorHAnsi" w:hAnsiTheme="minorHAnsi"/>
      <w:lang w:val="nl-NL"/>
    </w:rPr>
  </w:style>
  <w:style w:type="paragraph" w:styleId="Kop1">
    <w:name w:val="heading 1"/>
    <w:basedOn w:val="Standaard"/>
    <w:next w:val="Standaard"/>
    <w:link w:val="Kop1Char"/>
    <w:qFormat/>
    <w:rsid w:val="004F7AFD"/>
    <w:pPr>
      <w:keepNext/>
      <w:numPr>
        <w:numId w:val="1"/>
      </w:numPr>
      <w:tabs>
        <w:tab w:val="left" w:pos="1701"/>
      </w:tabs>
      <w:spacing w:after="0" w:line="320" w:lineRule="exact"/>
      <w:outlineLvl w:val="0"/>
    </w:pPr>
    <w:rPr>
      <w:rFonts w:ascii="Arial" w:eastAsia="Times New Roman" w:hAnsi="Arial" w:cs="Times New Roman"/>
      <w:b/>
      <w:lang w:eastAsia="nl-NL"/>
    </w:rPr>
  </w:style>
  <w:style w:type="paragraph" w:styleId="Kop2">
    <w:name w:val="heading 2"/>
    <w:basedOn w:val="Standaard"/>
    <w:next w:val="Standaard"/>
    <w:link w:val="Kop2Char"/>
    <w:qFormat/>
    <w:rsid w:val="004F7AFD"/>
    <w:pPr>
      <w:keepNext/>
      <w:numPr>
        <w:ilvl w:val="1"/>
        <w:numId w:val="1"/>
      </w:numPr>
      <w:tabs>
        <w:tab w:val="left" w:pos="1701"/>
      </w:tabs>
      <w:spacing w:before="120" w:after="0" w:line="320" w:lineRule="exact"/>
      <w:outlineLvl w:val="1"/>
    </w:pPr>
    <w:rPr>
      <w:rFonts w:ascii="Arial" w:eastAsia="Times New Roman" w:hAnsi="Arial" w:cs="Arial"/>
      <w:b/>
      <w:bCs/>
      <w:iCs/>
      <w:szCs w:val="28"/>
      <w:lang w:eastAsia="nl-NL"/>
    </w:rPr>
  </w:style>
  <w:style w:type="paragraph" w:styleId="Kop3">
    <w:name w:val="heading 3"/>
    <w:basedOn w:val="Standaard"/>
    <w:next w:val="Standaard"/>
    <w:link w:val="Kop3Char"/>
    <w:qFormat/>
    <w:rsid w:val="004F7AFD"/>
    <w:pPr>
      <w:keepNext/>
      <w:numPr>
        <w:ilvl w:val="2"/>
        <w:numId w:val="1"/>
      </w:numPr>
      <w:tabs>
        <w:tab w:val="left" w:pos="1701"/>
      </w:tabs>
      <w:spacing w:before="240" w:after="60" w:line="320" w:lineRule="exact"/>
      <w:outlineLvl w:val="2"/>
    </w:pPr>
    <w:rPr>
      <w:rFonts w:ascii="Arial" w:eastAsia="Times New Roman" w:hAnsi="Arial" w:cs="Arial"/>
      <w:b/>
      <w:bCs/>
      <w:szCs w:val="26"/>
      <w:lang w:eastAsia="nl-NL"/>
    </w:rPr>
  </w:style>
  <w:style w:type="paragraph" w:styleId="Kop4">
    <w:name w:val="heading 4"/>
    <w:basedOn w:val="Standaard"/>
    <w:next w:val="Standaard"/>
    <w:link w:val="Kop4Char"/>
    <w:qFormat/>
    <w:rsid w:val="004F7AFD"/>
    <w:pPr>
      <w:keepNext/>
      <w:numPr>
        <w:ilvl w:val="3"/>
        <w:numId w:val="1"/>
      </w:numPr>
      <w:tabs>
        <w:tab w:val="left" w:pos="1701"/>
      </w:tabs>
      <w:spacing w:before="240" w:after="60" w:line="320" w:lineRule="exact"/>
      <w:outlineLvl w:val="3"/>
    </w:pPr>
    <w:rPr>
      <w:rFonts w:ascii="Times New Roman" w:eastAsia="Times New Roman" w:hAnsi="Times New Roman" w:cs="Times New Roman"/>
      <w:b/>
      <w:bCs/>
      <w:sz w:val="28"/>
      <w:szCs w:val="28"/>
      <w:lang w:eastAsia="nl-NL"/>
    </w:rPr>
  </w:style>
  <w:style w:type="paragraph" w:styleId="Kop5">
    <w:name w:val="heading 5"/>
    <w:basedOn w:val="Standaard"/>
    <w:next w:val="Standaard"/>
    <w:link w:val="Kop5Char"/>
    <w:qFormat/>
    <w:rsid w:val="004F7AFD"/>
    <w:pPr>
      <w:numPr>
        <w:ilvl w:val="4"/>
        <w:numId w:val="1"/>
      </w:numPr>
      <w:tabs>
        <w:tab w:val="left" w:pos="1701"/>
      </w:tabs>
      <w:spacing w:before="240" w:after="60" w:line="320" w:lineRule="exact"/>
      <w:outlineLvl w:val="4"/>
    </w:pPr>
    <w:rPr>
      <w:rFonts w:ascii="Arial" w:eastAsia="Times New Roman" w:hAnsi="Arial" w:cs="Times New Roman"/>
      <w:b/>
      <w:bCs/>
      <w:i/>
      <w:iCs/>
      <w:sz w:val="26"/>
      <w:szCs w:val="26"/>
      <w:lang w:eastAsia="nl-NL"/>
    </w:rPr>
  </w:style>
  <w:style w:type="paragraph" w:styleId="Kop6">
    <w:name w:val="heading 6"/>
    <w:basedOn w:val="Standaard"/>
    <w:next w:val="Standaard"/>
    <w:link w:val="Kop6Char"/>
    <w:qFormat/>
    <w:rsid w:val="004F7AFD"/>
    <w:pPr>
      <w:numPr>
        <w:ilvl w:val="5"/>
        <w:numId w:val="1"/>
      </w:numPr>
      <w:tabs>
        <w:tab w:val="left" w:pos="1701"/>
      </w:tabs>
      <w:spacing w:before="240" w:after="60" w:line="320" w:lineRule="exact"/>
      <w:outlineLvl w:val="5"/>
    </w:pPr>
    <w:rPr>
      <w:rFonts w:ascii="Times New Roman" w:eastAsia="Times New Roman" w:hAnsi="Times New Roman" w:cs="Times New Roman"/>
      <w:b/>
      <w:bCs/>
      <w:lang w:eastAsia="nl-NL"/>
    </w:rPr>
  </w:style>
  <w:style w:type="paragraph" w:styleId="Kop7">
    <w:name w:val="heading 7"/>
    <w:basedOn w:val="Standaard"/>
    <w:next w:val="Standaard"/>
    <w:link w:val="Kop7Char"/>
    <w:qFormat/>
    <w:rsid w:val="004F7AFD"/>
    <w:pPr>
      <w:numPr>
        <w:ilvl w:val="6"/>
        <w:numId w:val="1"/>
      </w:numPr>
      <w:tabs>
        <w:tab w:val="left" w:pos="1701"/>
      </w:tabs>
      <w:spacing w:before="240" w:after="60" w:line="320" w:lineRule="exact"/>
      <w:outlineLvl w:val="6"/>
    </w:pPr>
    <w:rPr>
      <w:rFonts w:ascii="Times New Roman" w:eastAsia="Times New Roman" w:hAnsi="Times New Roman" w:cs="Times New Roman"/>
      <w:sz w:val="24"/>
      <w:szCs w:val="24"/>
      <w:lang w:eastAsia="nl-NL"/>
    </w:rPr>
  </w:style>
  <w:style w:type="paragraph" w:styleId="Kop8">
    <w:name w:val="heading 8"/>
    <w:basedOn w:val="Standaard"/>
    <w:next w:val="Standaard"/>
    <w:link w:val="Kop8Char"/>
    <w:qFormat/>
    <w:rsid w:val="004F7AFD"/>
    <w:pPr>
      <w:numPr>
        <w:ilvl w:val="7"/>
        <w:numId w:val="1"/>
      </w:numPr>
      <w:tabs>
        <w:tab w:val="left" w:pos="1701"/>
      </w:tabs>
      <w:spacing w:before="240" w:after="60" w:line="320" w:lineRule="exact"/>
      <w:outlineLvl w:val="7"/>
    </w:pPr>
    <w:rPr>
      <w:rFonts w:ascii="Times New Roman" w:eastAsia="Times New Roman" w:hAnsi="Times New Roman" w:cs="Times New Roman"/>
      <w:i/>
      <w:iCs/>
      <w:sz w:val="24"/>
      <w:szCs w:val="24"/>
      <w:lang w:eastAsia="nl-NL"/>
    </w:rPr>
  </w:style>
  <w:style w:type="paragraph" w:styleId="Kop9">
    <w:name w:val="heading 9"/>
    <w:basedOn w:val="Standaard"/>
    <w:next w:val="Standaard"/>
    <w:link w:val="Kop9Char"/>
    <w:qFormat/>
    <w:rsid w:val="004F7AFD"/>
    <w:pPr>
      <w:numPr>
        <w:ilvl w:val="8"/>
        <w:numId w:val="1"/>
      </w:numPr>
      <w:tabs>
        <w:tab w:val="left" w:pos="1701"/>
      </w:tabs>
      <w:spacing w:before="240" w:after="60" w:line="320" w:lineRule="exact"/>
      <w:outlineLvl w:val="8"/>
    </w:pPr>
    <w:rPr>
      <w:rFonts w:ascii="Arial" w:eastAsia="Times New Roman" w:hAnsi="Arial" w:cs="Arial"/>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4F7AFD"/>
    <w:rPr>
      <w:rFonts w:ascii="Arial" w:eastAsia="Times New Roman" w:hAnsi="Arial" w:cs="Times New Roman"/>
      <w:b/>
      <w:lang w:val="nl-NL" w:eastAsia="nl-NL"/>
    </w:rPr>
  </w:style>
  <w:style w:type="character" w:customStyle="1" w:styleId="Kop2Char">
    <w:name w:val="Kop 2 Char"/>
    <w:basedOn w:val="Standaardalinea-lettertype"/>
    <w:link w:val="Kop2"/>
    <w:rsid w:val="004F7AFD"/>
    <w:rPr>
      <w:rFonts w:ascii="Arial" w:eastAsia="Times New Roman" w:hAnsi="Arial" w:cs="Arial"/>
      <w:b/>
      <w:bCs/>
      <w:iCs/>
      <w:szCs w:val="28"/>
      <w:lang w:val="nl-NL" w:eastAsia="nl-NL"/>
    </w:rPr>
  </w:style>
  <w:style w:type="character" w:customStyle="1" w:styleId="Kop3Char">
    <w:name w:val="Kop 3 Char"/>
    <w:basedOn w:val="Standaardalinea-lettertype"/>
    <w:link w:val="Kop3"/>
    <w:rsid w:val="004F7AFD"/>
    <w:rPr>
      <w:rFonts w:ascii="Arial" w:eastAsia="Times New Roman" w:hAnsi="Arial" w:cs="Arial"/>
      <w:b/>
      <w:bCs/>
      <w:szCs w:val="26"/>
      <w:lang w:val="nl-NL" w:eastAsia="nl-NL"/>
    </w:rPr>
  </w:style>
  <w:style w:type="character" w:customStyle="1" w:styleId="Kop4Char">
    <w:name w:val="Kop 4 Char"/>
    <w:basedOn w:val="Standaardalinea-lettertype"/>
    <w:link w:val="Kop4"/>
    <w:rsid w:val="004F7AFD"/>
    <w:rPr>
      <w:rFonts w:ascii="Times New Roman" w:eastAsia="Times New Roman" w:hAnsi="Times New Roman" w:cs="Times New Roman"/>
      <w:b/>
      <w:bCs/>
      <w:sz w:val="28"/>
      <w:szCs w:val="28"/>
      <w:lang w:val="nl-NL" w:eastAsia="nl-NL"/>
    </w:rPr>
  </w:style>
  <w:style w:type="character" w:customStyle="1" w:styleId="Kop5Char">
    <w:name w:val="Kop 5 Char"/>
    <w:basedOn w:val="Standaardalinea-lettertype"/>
    <w:link w:val="Kop5"/>
    <w:rsid w:val="004F7AFD"/>
    <w:rPr>
      <w:rFonts w:ascii="Arial" w:eastAsia="Times New Roman" w:hAnsi="Arial" w:cs="Times New Roman"/>
      <w:b/>
      <w:bCs/>
      <w:i/>
      <w:iCs/>
      <w:sz w:val="26"/>
      <w:szCs w:val="26"/>
      <w:lang w:val="nl-NL" w:eastAsia="nl-NL"/>
    </w:rPr>
  </w:style>
  <w:style w:type="character" w:customStyle="1" w:styleId="Kop6Char">
    <w:name w:val="Kop 6 Char"/>
    <w:basedOn w:val="Standaardalinea-lettertype"/>
    <w:link w:val="Kop6"/>
    <w:rsid w:val="004F7AFD"/>
    <w:rPr>
      <w:rFonts w:ascii="Times New Roman" w:eastAsia="Times New Roman" w:hAnsi="Times New Roman" w:cs="Times New Roman"/>
      <w:b/>
      <w:bCs/>
      <w:lang w:val="nl-NL" w:eastAsia="nl-NL"/>
    </w:rPr>
  </w:style>
  <w:style w:type="character" w:customStyle="1" w:styleId="Kop7Char">
    <w:name w:val="Kop 7 Char"/>
    <w:basedOn w:val="Standaardalinea-lettertype"/>
    <w:link w:val="Kop7"/>
    <w:rsid w:val="004F7AFD"/>
    <w:rPr>
      <w:rFonts w:ascii="Times New Roman" w:eastAsia="Times New Roman" w:hAnsi="Times New Roman" w:cs="Times New Roman"/>
      <w:sz w:val="24"/>
      <w:szCs w:val="24"/>
      <w:lang w:val="nl-NL" w:eastAsia="nl-NL"/>
    </w:rPr>
  </w:style>
  <w:style w:type="character" w:customStyle="1" w:styleId="Kop8Char">
    <w:name w:val="Kop 8 Char"/>
    <w:basedOn w:val="Standaardalinea-lettertype"/>
    <w:link w:val="Kop8"/>
    <w:rsid w:val="004F7AFD"/>
    <w:rPr>
      <w:rFonts w:ascii="Times New Roman" w:eastAsia="Times New Roman" w:hAnsi="Times New Roman" w:cs="Times New Roman"/>
      <w:i/>
      <w:iCs/>
      <w:sz w:val="24"/>
      <w:szCs w:val="24"/>
      <w:lang w:val="nl-NL" w:eastAsia="nl-NL"/>
    </w:rPr>
  </w:style>
  <w:style w:type="character" w:customStyle="1" w:styleId="Kop9Char">
    <w:name w:val="Kop 9 Char"/>
    <w:basedOn w:val="Standaardalinea-lettertype"/>
    <w:link w:val="Kop9"/>
    <w:rsid w:val="004F7AFD"/>
    <w:rPr>
      <w:rFonts w:ascii="Arial" w:eastAsia="Times New Roman" w:hAnsi="Arial" w:cs="Arial"/>
      <w:lang w:val="nl-NL" w:eastAsia="nl-NL"/>
    </w:rPr>
  </w:style>
  <w:style w:type="paragraph" w:styleId="Ballontekst">
    <w:name w:val="Balloon Text"/>
    <w:basedOn w:val="Standaard"/>
    <w:link w:val="BallontekstChar"/>
    <w:uiPriority w:val="99"/>
    <w:semiHidden/>
    <w:unhideWhenUsed/>
    <w:rsid w:val="004F7AF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F7AFD"/>
    <w:rPr>
      <w:rFonts w:ascii="Tahoma" w:hAnsi="Tahoma" w:cs="Tahoma"/>
      <w:sz w:val="16"/>
      <w:szCs w:val="16"/>
      <w:lang w:val="nl-NL"/>
    </w:rPr>
  </w:style>
  <w:style w:type="paragraph" w:styleId="Lijstalinea">
    <w:name w:val="List Paragraph"/>
    <w:basedOn w:val="Standaard"/>
    <w:uiPriority w:val="34"/>
    <w:qFormat/>
    <w:rsid w:val="004F7AFD"/>
    <w:pPr>
      <w:ind w:left="720"/>
      <w:contextualSpacing/>
    </w:pPr>
  </w:style>
  <w:style w:type="character" w:customStyle="1" w:styleId="TekstopmerkingChar">
    <w:name w:val="Tekst opmerking Char"/>
    <w:basedOn w:val="Standaardalinea-lettertype"/>
    <w:link w:val="Tekstopmerking"/>
    <w:uiPriority w:val="99"/>
    <w:semiHidden/>
    <w:rsid w:val="004F7AFD"/>
    <w:rPr>
      <w:rFonts w:ascii="Haarlemmer MT Medium OsF" w:eastAsia="Times New Roman" w:hAnsi="Haarlemmer MT Medium OsF" w:cs="Times New Roman"/>
      <w:sz w:val="20"/>
      <w:szCs w:val="20"/>
      <w:lang w:val="nl-NL" w:eastAsia="nl-NL"/>
    </w:rPr>
  </w:style>
  <w:style w:type="paragraph" w:styleId="Tekstopmerking">
    <w:name w:val="annotation text"/>
    <w:basedOn w:val="Standaard"/>
    <w:link w:val="TekstopmerkingChar"/>
    <w:uiPriority w:val="99"/>
    <w:semiHidden/>
    <w:rsid w:val="004F7AFD"/>
    <w:pPr>
      <w:tabs>
        <w:tab w:val="left" w:pos="284"/>
        <w:tab w:val="left" w:pos="1701"/>
      </w:tabs>
      <w:spacing w:after="0" w:line="320" w:lineRule="exact"/>
    </w:pPr>
    <w:rPr>
      <w:rFonts w:ascii="Haarlemmer MT Medium OsF" w:eastAsia="Times New Roman" w:hAnsi="Haarlemmer MT Medium OsF" w:cs="Times New Roman"/>
      <w:sz w:val="20"/>
      <w:szCs w:val="20"/>
      <w:lang w:eastAsia="nl-NL"/>
    </w:rPr>
  </w:style>
  <w:style w:type="character" w:customStyle="1" w:styleId="OnderwerpvanopmerkingChar">
    <w:name w:val="Onderwerp van opmerking Char"/>
    <w:basedOn w:val="TekstopmerkingChar"/>
    <w:link w:val="Onderwerpvanopmerking"/>
    <w:uiPriority w:val="99"/>
    <w:semiHidden/>
    <w:rsid w:val="004F7AFD"/>
    <w:rPr>
      <w:rFonts w:asciiTheme="minorHAnsi" w:eastAsia="Times New Roman" w:hAnsiTheme="minorHAnsi" w:cs="Times New Roman"/>
      <w:b/>
      <w:bCs/>
      <w:sz w:val="20"/>
      <w:szCs w:val="20"/>
      <w:lang w:val="nl-NL" w:eastAsia="nl-NL"/>
    </w:rPr>
  </w:style>
  <w:style w:type="paragraph" w:styleId="Onderwerpvanopmerking">
    <w:name w:val="annotation subject"/>
    <w:basedOn w:val="Tekstopmerking"/>
    <w:next w:val="Tekstopmerking"/>
    <w:link w:val="OnderwerpvanopmerkingChar"/>
    <w:uiPriority w:val="99"/>
    <w:semiHidden/>
    <w:unhideWhenUsed/>
    <w:rsid w:val="004F7AFD"/>
    <w:pPr>
      <w:tabs>
        <w:tab w:val="clear" w:pos="284"/>
        <w:tab w:val="clear" w:pos="1701"/>
      </w:tabs>
      <w:spacing w:after="200" w:line="240" w:lineRule="auto"/>
    </w:pPr>
    <w:rPr>
      <w:rFonts w:asciiTheme="minorHAnsi" w:eastAsiaTheme="minorHAnsi" w:hAnsiTheme="minorHAnsi" w:cstheme="minorBidi"/>
      <w:b/>
      <w:bCs/>
      <w:lang w:eastAsia="en-US"/>
    </w:rPr>
  </w:style>
  <w:style w:type="character" w:customStyle="1" w:styleId="VoetnoottekstChar">
    <w:name w:val="Voetnoottekst Char"/>
    <w:basedOn w:val="Standaardalinea-lettertype"/>
    <w:link w:val="Voetnoottekst"/>
    <w:uiPriority w:val="99"/>
    <w:semiHidden/>
    <w:rsid w:val="004F7AFD"/>
    <w:rPr>
      <w:rFonts w:asciiTheme="minorHAnsi" w:hAnsiTheme="minorHAnsi"/>
      <w:sz w:val="20"/>
      <w:szCs w:val="20"/>
      <w:lang w:val="nl-NL"/>
    </w:rPr>
  </w:style>
  <w:style w:type="paragraph" w:styleId="Voetnoottekst">
    <w:name w:val="footnote text"/>
    <w:basedOn w:val="Standaard"/>
    <w:link w:val="VoetnoottekstChar"/>
    <w:uiPriority w:val="99"/>
    <w:semiHidden/>
    <w:unhideWhenUsed/>
    <w:rsid w:val="004F7AFD"/>
    <w:pPr>
      <w:spacing w:after="0" w:line="240" w:lineRule="auto"/>
    </w:pPr>
    <w:rPr>
      <w:sz w:val="20"/>
      <w:szCs w:val="20"/>
    </w:rPr>
  </w:style>
  <w:style w:type="table" w:styleId="Tabelraster">
    <w:name w:val="Table Grid"/>
    <w:basedOn w:val="Standaardtabel"/>
    <w:uiPriority w:val="39"/>
    <w:rsid w:val="004F7AFD"/>
    <w:pPr>
      <w:tabs>
        <w:tab w:val="left" w:pos="284"/>
        <w:tab w:val="left" w:pos="1701"/>
      </w:tabs>
      <w:spacing w:after="0" w:line="320" w:lineRule="exact"/>
    </w:pPr>
    <w:rPr>
      <w:rFonts w:ascii="Times New Roman" w:eastAsia="Times New Roman" w:hAnsi="Times New Roman" w:cs="Times New Roman"/>
      <w:sz w:val="20"/>
      <w:szCs w:val="20"/>
      <w:lang w:val="nl-NL"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link w:val="TitelChar"/>
    <w:uiPriority w:val="10"/>
    <w:qFormat/>
    <w:rsid w:val="004F7AFD"/>
    <w:pPr>
      <w:tabs>
        <w:tab w:val="left" w:pos="284"/>
        <w:tab w:val="left" w:pos="1701"/>
      </w:tabs>
      <w:spacing w:after="120" w:line="320" w:lineRule="exact"/>
      <w:outlineLvl w:val="3"/>
    </w:pPr>
    <w:rPr>
      <w:rFonts w:ascii="Arial" w:eastAsia="Times New Roman" w:hAnsi="Arial" w:cs="Arial"/>
      <w:b/>
      <w:bCs/>
      <w:kern w:val="28"/>
      <w:sz w:val="32"/>
      <w:szCs w:val="32"/>
      <w:lang w:eastAsia="nl-NL"/>
    </w:rPr>
  </w:style>
  <w:style w:type="character" w:customStyle="1" w:styleId="TitelChar">
    <w:name w:val="Titel Char"/>
    <w:basedOn w:val="Standaardalinea-lettertype"/>
    <w:link w:val="Titel"/>
    <w:uiPriority w:val="10"/>
    <w:rsid w:val="004F7AFD"/>
    <w:rPr>
      <w:rFonts w:ascii="Arial" w:eastAsia="Times New Roman" w:hAnsi="Arial" w:cs="Arial"/>
      <w:b/>
      <w:bCs/>
      <w:kern w:val="28"/>
      <w:sz w:val="32"/>
      <w:szCs w:val="32"/>
      <w:lang w:val="nl-NL" w:eastAsia="nl-NL"/>
    </w:rPr>
  </w:style>
  <w:style w:type="table" w:customStyle="1" w:styleId="Tabelraster2">
    <w:name w:val="Tabelraster2"/>
    <w:basedOn w:val="Standaardtabel"/>
    <w:next w:val="Tabelraster"/>
    <w:uiPriority w:val="59"/>
    <w:rsid w:val="004F7AFD"/>
    <w:pPr>
      <w:spacing w:after="0" w:line="240" w:lineRule="auto"/>
    </w:pPr>
    <w:rPr>
      <w:rFonts w:asciiTheme="minorHAnsi" w:hAnsiTheme="minorHAnsi"/>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59"/>
    <w:rsid w:val="004F7AFD"/>
    <w:pPr>
      <w:spacing w:after="0" w:line="240" w:lineRule="auto"/>
    </w:pPr>
    <w:rPr>
      <w:rFonts w:asciiTheme="minorHAnsi" w:hAnsiTheme="minorHAnsi"/>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cumentstructuurChar">
    <w:name w:val="Documentstructuur Char"/>
    <w:basedOn w:val="Standaardalinea-lettertype"/>
    <w:link w:val="Documentstructuur"/>
    <w:uiPriority w:val="99"/>
    <w:semiHidden/>
    <w:rsid w:val="004F7AFD"/>
    <w:rPr>
      <w:rFonts w:ascii="Times New Roman" w:hAnsi="Times New Roman" w:cs="Times New Roman"/>
      <w:sz w:val="24"/>
      <w:szCs w:val="24"/>
      <w:lang w:val="nl-NL"/>
    </w:rPr>
  </w:style>
  <w:style w:type="paragraph" w:styleId="Documentstructuur">
    <w:name w:val="Document Map"/>
    <w:basedOn w:val="Standaard"/>
    <w:link w:val="DocumentstructuurChar"/>
    <w:uiPriority w:val="99"/>
    <w:semiHidden/>
    <w:unhideWhenUsed/>
    <w:rsid w:val="004F7AFD"/>
    <w:pPr>
      <w:spacing w:after="0" w:line="240" w:lineRule="auto"/>
    </w:pPr>
    <w:rPr>
      <w:rFonts w:ascii="Times New Roman" w:hAnsi="Times New Roman" w:cs="Times New Roman"/>
      <w:sz w:val="24"/>
      <w:szCs w:val="24"/>
    </w:rPr>
  </w:style>
  <w:style w:type="character" w:styleId="Hyperlink">
    <w:name w:val="Hyperlink"/>
    <w:basedOn w:val="Standaardalinea-lettertype"/>
    <w:uiPriority w:val="99"/>
    <w:unhideWhenUsed/>
    <w:rsid w:val="004F7AFD"/>
    <w:rPr>
      <w:color w:val="0000FF" w:themeColor="hyperlink"/>
      <w:u w:val="single"/>
    </w:rPr>
  </w:style>
  <w:style w:type="paragraph" w:styleId="Koptekst">
    <w:name w:val="header"/>
    <w:basedOn w:val="Standaard"/>
    <w:link w:val="KoptekstChar"/>
    <w:uiPriority w:val="99"/>
    <w:unhideWhenUsed/>
    <w:rsid w:val="004F7AF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F7AFD"/>
    <w:rPr>
      <w:rFonts w:asciiTheme="minorHAnsi" w:hAnsiTheme="minorHAnsi"/>
      <w:lang w:val="nl-NL"/>
    </w:rPr>
  </w:style>
  <w:style w:type="paragraph" w:styleId="Voettekst">
    <w:name w:val="footer"/>
    <w:basedOn w:val="Standaard"/>
    <w:link w:val="VoettekstChar"/>
    <w:uiPriority w:val="99"/>
    <w:unhideWhenUsed/>
    <w:rsid w:val="004F7AF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F7AFD"/>
    <w:rPr>
      <w:rFonts w:asciiTheme="minorHAnsi" w:hAnsiTheme="minorHAnsi"/>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tif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tiff"/><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A3F4C-1A34-4353-BB48-B0D0B48D1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F6549016</Template>
  <TotalTime>5</TotalTime>
  <Pages>17</Pages>
  <Words>44924</Words>
  <Characters>247087</Characters>
  <Application>Microsoft Office Word</Application>
  <DocSecurity>0</DocSecurity>
  <Lines>2059</Lines>
  <Paragraphs>582</Paragraphs>
  <ScaleCrop>false</ScaleCrop>
  <HeadingPairs>
    <vt:vector size="2" baseType="variant">
      <vt:variant>
        <vt:lpstr>Titel</vt:lpstr>
      </vt:variant>
      <vt:variant>
        <vt:i4>1</vt:i4>
      </vt:variant>
    </vt:vector>
  </HeadingPairs>
  <TitlesOfParts>
    <vt:vector size="1" baseType="lpstr">
      <vt:lpstr/>
    </vt:vector>
  </TitlesOfParts>
  <Company>UMC Utrecht</Company>
  <LinksUpToDate>false</LinksUpToDate>
  <CharactersWithSpaces>291429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Smits-4, F.J.</dc:creator>
  <cp:lastModifiedBy>Smits-4, F.J.</cp:lastModifiedBy>
  <cp:revision>2</cp:revision>
  <dcterms:created xsi:type="dcterms:W3CDTF">2019-11-18T14:09:00Z</dcterms:created>
  <dcterms:modified xsi:type="dcterms:W3CDTF">2019-11-18T16:22:00Z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0f0deb9b-651c-3372-8e11-37b4bab77938</vt:lpwstr>
  </property>
  <property fmtid="{D5CDD505-2E9C-101B-9397-08002B2CF9AE}" pid="4" name="Mendeley Citation Style_1">
    <vt:lpwstr>http://www.zotero.org/styles/trials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http://www.zotero.org/styles/trials</vt:lpwstr>
  </property>
  <property fmtid="{D5CDD505-2E9C-101B-9397-08002B2CF9AE}" pid="24" name="Mendeley Recent Style Name 9_1">
    <vt:lpwstr>Trials</vt:lpwstr>
  </property>
</Properties>
</file>